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right="-378" w:rightChars="-180"/>
        <w:jc w:val="center"/>
        <w:rPr>
          <w:rFonts w:ascii="黑体" w:eastAsia="黑体"/>
          <w:sz w:val="36"/>
        </w:rPr>
      </w:pPr>
    </w:p>
    <w:p>
      <w:pPr>
        <w:jc w:val="center"/>
        <w:rPr>
          <w:rFonts w:ascii="黑体" w:eastAsia="黑体"/>
          <w:sz w:val="36"/>
        </w:rPr>
      </w:pPr>
      <w:r>
        <w:rPr>
          <w:rFonts w:ascii="黑体" w:eastAsia="黑体"/>
          <w:sz w:val="36"/>
        </w:rPr>
        <w:tab/>
      </w:r>
    </w:p>
    <w:p>
      <w:pPr>
        <w:ind w:right="-378" w:rightChars="-180"/>
        <w:rPr>
          <w:sz w:val="28"/>
        </w:rPr>
      </w:pPr>
    </w:p>
    <w:p>
      <w:pPr>
        <w:ind w:right="-378" w:rightChars="-180"/>
        <w:jc w:val="center"/>
        <w:rPr>
          <w:rFonts w:ascii="黑体" w:eastAsia="黑体"/>
          <w:sz w:val="44"/>
        </w:rPr>
      </w:pPr>
      <w:r>
        <w:rPr>
          <w:rFonts w:hint="eastAsia" w:ascii="黑体" w:eastAsia="黑体"/>
          <w:sz w:val="44"/>
        </w:rPr>
        <w:t>南京特殊教育师范学院燕子矶校区</w:t>
      </w:r>
    </w:p>
    <w:p>
      <w:pPr>
        <w:ind w:right="-378" w:rightChars="-180"/>
        <w:jc w:val="center"/>
        <w:rPr>
          <w:rFonts w:ascii="黑体" w:eastAsia="黑体"/>
          <w:sz w:val="44"/>
        </w:rPr>
      </w:pPr>
      <w:r>
        <w:rPr>
          <w:rFonts w:hint="eastAsia" w:ascii="黑体" w:eastAsia="黑体"/>
          <w:sz w:val="44"/>
        </w:rPr>
        <w:t>树木修剪服务项目</w:t>
      </w:r>
    </w:p>
    <w:p>
      <w:pPr>
        <w:ind w:right="-378" w:rightChars="-180"/>
        <w:jc w:val="center"/>
        <w:rPr>
          <w:rFonts w:ascii="黑体" w:eastAsia="黑体"/>
          <w:sz w:val="44"/>
        </w:rPr>
      </w:pPr>
      <w:r>
        <w:rPr>
          <w:rFonts w:hint="eastAsia" w:ascii="黑体" w:eastAsia="黑体"/>
          <w:sz w:val="44"/>
        </w:rPr>
        <w:t>磋商公告</w:t>
      </w:r>
    </w:p>
    <w:p>
      <w:pPr>
        <w:spacing w:line="400" w:lineRule="exact"/>
        <w:ind w:right="-378" w:rightChars="-180"/>
      </w:pPr>
    </w:p>
    <w:p>
      <w:pPr>
        <w:spacing w:line="400" w:lineRule="exact"/>
        <w:ind w:right="-378" w:rightChars="-180"/>
      </w:pPr>
    </w:p>
    <w:p>
      <w:pPr>
        <w:spacing w:line="400" w:lineRule="exact"/>
        <w:ind w:right="-378" w:rightChars="-180"/>
        <w:jc w:val="center"/>
        <w:rPr>
          <w:rFonts w:ascii="黑体" w:eastAsia="黑体"/>
          <w:sz w:val="28"/>
          <w:szCs w:val="28"/>
        </w:rPr>
      </w:pPr>
      <w:r>
        <w:rPr>
          <w:rFonts w:hint="eastAsia" w:ascii="黑体" w:eastAsia="黑体"/>
          <w:sz w:val="28"/>
          <w:szCs w:val="28"/>
        </w:rPr>
        <w:t>项目编号：2</w:t>
      </w:r>
      <w:r>
        <w:rPr>
          <w:rFonts w:ascii="黑体" w:eastAsia="黑体"/>
          <w:sz w:val="28"/>
          <w:szCs w:val="28"/>
        </w:rPr>
        <w:t>0211102</w:t>
      </w:r>
    </w:p>
    <w:p>
      <w:pPr>
        <w:spacing w:line="400" w:lineRule="exact"/>
        <w:ind w:right="-378" w:rightChars="-180"/>
      </w:pPr>
    </w:p>
    <w:p>
      <w:pPr>
        <w:spacing w:line="400" w:lineRule="exact"/>
        <w:ind w:right="-378" w:rightChars="-180"/>
      </w:pPr>
      <w:r>
        <w:t xml:space="preserve"> </w:t>
      </w:r>
    </w:p>
    <w:p>
      <w:pPr>
        <w:spacing w:line="400" w:lineRule="exact"/>
        <w:ind w:right="-378" w:rightChars="-180"/>
      </w:pPr>
    </w:p>
    <w:p>
      <w:pPr>
        <w:spacing w:line="400" w:lineRule="exact"/>
        <w:ind w:right="-378" w:rightChars="-180"/>
      </w:pPr>
    </w:p>
    <w:p>
      <w:pPr>
        <w:spacing w:line="400" w:lineRule="exact"/>
        <w:ind w:right="-378" w:rightChars="-180"/>
      </w:pPr>
    </w:p>
    <w:p>
      <w:pPr>
        <w:spacing w:line="400" w:lineRule="exact"/>
        <w:ind w:right="-378" w:rightChars="-180"/>
      </w:pPr>
    </w:p>
    <w:p>
      <w:pPr>
        <w:spacing w:line="400" w:lineRule="exact"/>
        <w:ind w:right="-378" w:rightChars="-180"/>
      </w:pPr>
    </w:p>
    <w:p>
      <w:pPr>
        <w:spacing w:line="400" w:lineRule="exact"/>
        <w:ind w:right="-378" w:rightChars="-180"/>
      </w:pPr>
    </w:p>
    <w:p>
      <w:pPr>
        <w:spacing w:line="400" w:lineRule="exact"/>
        <w:ind w:right="-378" w:rightChars="-180"/>
      </w:pPr>
    </w:p>
    <w:p>
      <w:pPr>
        <w:spacing w:line="400" w:lineRule="exact"/>
        <w:ind w:right="-378" w:rightChars="-180"/>
      </w:pPr>
    </w:p>
    <w:p>
      <w:pPr>
        <w:spacing w:line="400" w:lineRule="exact"/>
        <w:ind w:right="-378" w:rightChars="-180"/>
      </w:pPr>
    </w:p>
    <w:p>
      <w:pPr>
        <w:ind w:right="-378" w:rightChars="-180"/>
        <w:jc w:val="center"/>
        <w:rPr>
          <w:rFonts w:ascii="黑体" w:eastAsia="黑体"/>
          <w:sz w:val="28"/>
          <w:szCs w:val="28"/>
          <w:u w:val="single" w:color="000000"/>
        </w:rPr>
      </w:pPr>
      <w:r>
        <w:rPr>
          <w:rFonts w:hint="eastAsia" w:ascii="黑体" w:eastAsia="黑体"/>
          <w:sz w:val="28"/>
        </w:rPr>
        <w:t>采购人：</w:t>
      </w:r>
      <w:r>
        <w:rPr>
          <w:rFonts w:hint="eastAsia" w:ascii="黑体" w:eastAsia="黑体"/>
          <w:sz w:val="28"/>
          <w:u w:val="single"/>
        </w:rPr>
        <w:t xml:space="preserve"> </w:t>
      </w:r>
      <w:r>
        <w:rPr>
          <w:rFonts w:hint="eastAsia" w:ascii="黑体" w:eastAsia="黑体"/>
          <w:sz w:val="28"/>
          <w:szCs w:val="28"/>
          <w:u w:val="single" w:color="000000"/>
        </w:rPr>
        <w:t>南京特殊教育师范学院</w:t>
      </w:r>
    </w:p>
    <w:p>
      <w:pPr>
        <w:spacing w:line="400" w:lineRule="exact"/>
        <w:ind w:right="-378" w:rightChars="-180"/>
        <w:rPr>
          <w:rFonts w:ascii="宋体" w:hAnsi="宋体"/>
          <w:szCs w:val="21"/>
          <w:u w:val="single" w:color="000000"/>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34"/>
        <w:spacing w:before="63" w:beforeAutospacing="0" w:after="63" w:afterAutospacing="0"/>
        <w:jc w:val="center"/>
        <w:rPr>
          <w:sz w:val="32"/>
          <w:szCs w:val="32"/>
        </w:rPr>
      </w:pPr>
      <w:r>
        <w:rPr>
          <w:szCs w:val="21"/>
          <w:u w:val="single" w:color="000000"/>
        </w:rPr>
        <w:br w:type="page"/>
      </w:r>
      <w:bookmarkStart w:id="0" w:name="_Toc152042303"/>
      <w:bookmarkStart w:id="1" w:name="_Toc144974495"/>
      <w:bookmarkStart w:id="2" w:name="_Toc499830045"/>
      <w:bookmarkStart w:id="3" w:name="_Toc269886737"/>
      <w:bookmarkStart w:id="4" w:name="_Toc152045527"/>
      <w:bookmarkStart w:id="5" w:name="_Toc227983999"/>
      <w:r>
        <w:rPr>
          <w:rFonts w:hint="eastAsia" w:ascii="黑体" w:hAnsi="黑体" w:eastAsia="黑体"/>
          <w:b/>
          <w:sz w:val="32"/>
        </w:rPr>
        <w:t>第一章 磋商公告</w:t>
      </w:r>
    </w:p>
    <w:p>
      <w:pPr>
        <w:ind w:firstLine="480" w:firstLineChars="200"/>
        <w:rPr>
          <w:rFonts w:ascii="宋体" w:hAnsi="宋体"/>
          <w:sz w:val="24"/>
        </w:rPr>
      </w:pPr>
      <w:r>
        <w:rPr>
          <w:rFonts w:hint="eastAsia" w:ascii="宋体" w:hAnsi="宋体"/>
          <w:sz w:val="24"/>
        </w:rPr>
        <w:t>根据学校发展需要，受后勤基建处委托，就南京特殊教育师范学院燕子矶校区树木修剪服务项目进行</w:t>
      </w:r>
      <w:r>
        <w:rPr>
          <w:rFonts w:hint="eastAsia" w:ascii="宋体" w:hAnsi="宋体" w:cs="黑体"/>
          <w:sz w:val="24"/>
          <w:szCs w:val="24"/>
        </w:rPr>
        <w:t>竞争性磋商采购</w:t>
      </w:r>
      <w:r>
        <w:rPr>
          <w:rFonts w:hint="eastAsia" w:ascii="宋体" w:hAnsi="宋体"/>
          <w:sz w:val="24"/>
        </w:rPr>
        <w:t>公告，现欢迎符合相关条件的供应商参加投标。成交供应商不得转包、分包。</w:t>
      </w:r>
    </w:p>
    <w:p>
      <w:pPr>
        <w:pStyle w:val="3"/>
        <w:keepNext w:val="0"/>
        <w:keepLines w:val="0"/>
        <w:spacing w:before="0" w:after="0" w:line="360" w:lineRule="auto"/>
        <w:rPr>
          <w:bCs/>
          <w:sz w:val="24"/>
          <w:szCs w:val="24"/>
        </w:rPr>
      </w:pPr>
      <w:r>
        <w:rPr>
          <w:rFonts w:hint="eastAsia"/>
          <w:bCs/>
          <w:sz w:val="24"/>
          <w:szCs w:val="24"/>
        </w:rPr>
        <w:t>一、项目基本情况</w:t>
      </w:r>
    </w:p>
    <w:p>
      <w:pPr>
        <w:pStyle w:val="34"/>
        <w:widowControl w:val="0"/>
        <w:spacing w:before="0" w:beforeAutospacing="0" w:after="0" w:afterAutospacing="0" w:line="360" w:lineRule="auto"/>
        <w:ind w:firstLine="480" w:firstLineChars="200"/>
        <w:jc w:val="both"/>
      </w:pPr>
      <w:r>
        <w:rPr>
          <w:rFonts w:hint="eastAsia"/>
        </w:rPr>
        <w:t>1、项目编号：2</w:t>
      </w:r>
      <w:r>
        <w:t>0211102</w:t>
      </w:r>
    </w:p>
    <w:p>
      <w:pPr>
        <w:pStyle w:val="34"/>
        <w:widowControl w:val="0"/>
        <w:spacing w:before="0" w:beforeAutospacing="0" w:after="0" w:afterAutospacing="0" w:line="360" w:lineRule="auto"/>
        <w:ind w:firstLine="480" w:firstLineChars="200"/>
        <w:jc w:val="both"/>
      </w:pPr>
      <w:r>
        <w:rPr>
          <w:rFonts w:hint="eastAsia"/>
        </w:rPr>
        <w:t>2、项目名称：南京特殊教育师范学院燕子矶校区树木修剪服务项目</w:t>
      </w:r>
    </w:p>
    <w:p>
      <w:pPr>
        <w:pStyle w:val="34"/>
        <w:widowControl w:val="0"/>
        <w:spacing w:before="0" w:beforeAutospacing="0" w:after="0" w:afterAutospacing="0" w:line="360" w:lineRule="auto"/>
        <w:ind w:firstLine="480" w:firstLineChars="200"/>
        <w:jc w:val="both"/>
      </w:pPr>
      <w:r>
        <w:rPr>
          <w:rFonts w:hint="eastAsia"/>
        </w:rPr>
        <w:t>3、最高限价：人民币</w:t>
      </w:r>
      <w:r>
        <w:fldChar w:fldCharType="begin"/>
      </w:r>
      <w:r>
        <w:instrText xml:space="preserve"> </w:instrText>
      </w:r>
      <w:r>
        <w:rPr>
          <w:rFonts w:hint="eastAsia"/>
        </w:rPr>
        <w:instrText xml:space="preserve">= 400000 \* CHINESENUM2</w:instrText>
      </w:r>
      <w:r>
        <w:instrText xml:space="preserve"> </w:instrText>
      </w:r>
      <w:r>
        <w:fldChar w:fldCharType="separate"/>
      </w:r>
      <w:r>
        <w:rPr>
          <w:rFonts w:hint="eastAsia"/>
        </w:rPr>
        <w:t>壹拾叁万</w:t>
      </w:r>
      <w:r>
        <w:fldChar w:fldCharType="end"/>
      </w:r>
      <w:r>
        <w:t>元</w:t>
      </w:r>
      <w:r>
        <w:rPr>
          <w:rFonts w:hint="eastAsia"/>
        </w:rPr>
        <w:t>（￥130000）</w:t>
      </w:r>
    </w:p>
    <w:p>
      <w:pPr>
        <w:pStyle w:val="34"/>
        <w:widowControl w:val="0"/>
        <w:spacing w:before="0" w:beforeAutospacing="0" w:after="0" w:afterAutospacing="0" w:line="360" w:lineRule="auto"/>
        <w:ind w:firstLine="480" w:firstLineChars="200"/>
        <w:jc w:val="both"/>
      </w:pPr>
      <w:r>
        <w:rPr>
          <w:rFonts w:hint="eastAsia"/>
        </w:rPr>
        <w:t>4、采购需求：南京特殊教育师范学院燕子矶校区主干道及建筑物、花园周边梧桐树、香樟树、白玉兰、杨树、银杏等树木，按校方要求修剪树型，创口处理，枯枝、丛生枝、萌芽枝、下垂枝、建筑周边树枝、遮光严重倾斜严重的树枝修剪（部分树木高度超过20米），以及学校内部护坡及周边的杂树、草的清理，外运服务。</w:t>
      </w:r>
    </w:p>
    <w:p>
      <w:pPr>
        <w:spacing w:line="360" w:lineRule="auto"/>
        <w:ind w:firstLine="480" w:firstLineChars="200"/>
        <w:rPr>
          <w:rFonts w:ascii="宋体" w:hAnsi="宋体"/>
          <w:sz w:val="24"/>
          <w:szCs w:val="24"/>
        </w:rPr>
      </w:pPr>
      <w:r>
        <w:rPr>
          <w:rFonts w:hint="eastAsia" w:ascii="宋体" w:hAnsi="宋体"/>
          <w:sz w:val="24"/>
          <w:szCs w:val="24"/>
        </w:rPr>
        <w:t>5、工期要求：合同签订后20日历天完成并通过验收</w:t>
      </w:r>
    </w:p>
    <w:p>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、质保期限：2年</w:t>
      </w:r>
    </w:p>
    <w:p>
      <w:pPr>
        <w:spacing w:line="520" w:lineRule="exact"/>
        <w:jc w:val="left"/>
        <w:rPr>
          <w:rFonts w:ascii="Arial" w:hAnsi="Arial" w:eastAsia="黑体"/>
          <w:b/>
          <w:bCs/>
          <w:sz w:val="24"/>
          <w:szCs w:val="24"/>
        </w:rPr>
      </w:pPr>
      <w:r>
        <w:rPr>
          <w:rFonts w:hint="eastAsia" w:ascii="Arial" w:hAnsi="Arial" w:eastAsia="黑体"/>
          <w:b/>
          <w:bCs/>
          <w:sz w:val="24"/>
          <w:szCs w:val="24"/>
        </w:rPr>
        <w:t>二、现场勘查</w:t>
      </w:r>
    </w:p>
    <w:p>
      <w:pPr>
        <w:spacing w:line="360" w:lineRule="auto"/>
        <w:ind w:firstLine="480" w:firstLineChars="200"/>
        <w:rPr>
          <w:rFonts w:ascii="宋体" w:hAnsi="宋体"/>
          <w:sz w:val="24"/>
        </w:rPr>
      </w:pPr>
      <w:r>
        <w:rPr>
          <w:rFonts w:hint="eastAsia" w:ascii="宋体" w:hAnsi="宋体"/>
          <w:sz w:val="24"/>
        </w:rPr>
        <w:t xml:space="preserve">地点：南京特殊教育师范学院燕子矶校区    </w:t>
      </w:r>
    </w:p>
    <w:p>
      <w:pPr>
        <w:spacing w:line="360" w:lineRule="auto"/>
        <w:ind w:firstLine="480" w:firstLineChars="200"/>
        <w:rPr>
          <w:rFonts w:ascii="宋体" w:hAnsi="宋体"/>
          <w:sz w:val="24"/>
        </w:rPr>
      </w:pPr>
      <w:r>
        <w:rPr>
          <w:rFonts w:hint="eastAsia" w:ascii="宋体" w:hAnsi="宋体"/>
          <w:sz w:val="24"/>
        </w:rPr>
        <w:t>联系人及联系电话：薛老师 18936932220</w:t>
      </w:r>
    </w:p>
    <w:p>
      <w:pPr>
        <w:spacing w:line="360" w:lineRule="auto"/>
        <w:rPr>
          <w:bCs/>
          <w:sz w:val="24"/>
          <w:szCs w:val="24"/>
        </w:rPr>
      </w:pPr>
      <w:r>
        <w:rPr>
          <w:rFonts w:hint="eastAsia" w:ascii="宋体" w:hAnsi="宋体"/>
          <w:sz w:val="24"/>
        </w:rPr>
        <w:t xml:space="preserve">    本项目不安排集中现场勘察，请各潜在投标人自行前往考察现场，请务必对项目现场和周围环境进行仔细认真地查勘，在随后的采购中，对现场资料和数据所作出的推论、解释和结论及由此造成的后果由供应商负责（未现场勘察和未提出疑义的投标人将被视为已勘察，认同招标项目要求的内容）。</w:t>
      </w:r>
    </w:p>
    <w:p>
      <w:pPr>
        <w:pStyle w:val="3"/>
        <w:keepNext w:val="0"/>
        <w:keepLines w:val="0"/>
        <w:spacing w:before="0" w:after="0" w:line="360" w:lineRule="auto"/>
        <w:rPr>
          <w:bCs/>
          <w:sz w:val="24"/>
          <w:szCs w:val="24"/>
        </w:rPr>
      </w:pPr>
      <w:r>
        <w:rPr>
          <w:rFonts w:hint="eastAsia"/>
          <w:bCs/>
          <w:sz w:val="24"/>
          <w:szCs w:val="24"/>
        </w:rPr>
        <w:t>三、申请人的资格要求：</w:t>
      </w:r>
    </w:p>
    <w:p>
      <w:pPr>
        <w:pStyle w:val="34"/>
        <w:widowControl w:val="0"/>
        <w:spacing w:before="0" w:beforeAutospacing="0" w:after="0" w:afterAutospacing="0" w:line="360" w:lineRule="auto"/>
        <w:ind w:firstLine="480" w:firstLineChars="200"/>
        <w:jc w:val="both"/>
      </w:pPr>
      <w:r>
        <w:rPr>
          <w:rFonts w:hint="eastAsia"/>
        </w:rPr>
        <w:t>（一）符合《中华人民共和国政府采购法》第二十二条的规定，提供证明材料（包括但不限于）：</w:t>
      </w:r>
    </w:p>
    <w:p>
      <w:pPr>
        <w:pStyle w:val="34"/>
        <w:widowControl w:val="0"/>
        <w:spacing w:before="0" w:beforeAutospacing="0" w:after="0" w:afterAutospacing="0" w:line="360" w:lineRule="auto"/>
        <w:ind w:firstLine="480" w:firstLineChars="200"/>
        <w:jc w:val="both"/>
      </w:pPr>
      <w:r>
        <w:rPr>
          <w:rFonts w:hint="eastAsia"/>
        </w:rPr>
        <w:t>1、投标人法人或其他组织的营业执照等证明，复印件加盖公章。</w:t>
      </w:r>
    </w:p>
    <w:p>
      <w:pPr>
        <w:pStyle w:val="34"/>
        <w:widowControl w:val="0"/>
        <w:spacing w:before="0" w:beforeAutospacing="0" w:after="0" w:afterAutospacing="0" w:line="360" w:lineRule="auto"/>
        <w:ind w:firstLine="480" w:firstLineChars="200"/>
        <w:jc w:val="both"/>
      </w:pPr>
      <w:r>
        <w:rPr>
          <w:rFonts w:hint="eastAsia"/>
        </w:rPr>
        <w:t>2、法人代表授权书（原件）及法定代表人、投标人授权代表身份证复印件。</w:t>
      </w:r>
    </w:p>
    <w:p>
      <w:pPr>
        <w:pStyle w:val="34"/>
        <w:widowControl w:val="0"/>
        <w:spacing w:before="0" w:beforeAutospacing="0" w:after="0" w:afterAutospacing="0" w:line="360" w:lineRule="auto"/>
        <w:ind w:firstLine="480" w:firstLineChars="200"/>
        <w:jc w:val="both"/>
      </w:pPr>
      <w:r>
        <w:rPr>
          <w:rFonts w:hint="eastAsia"/>
        </w:rPr>
        <w:t>3、具有良好的商业信誉和健全的财务会计制度，提供参加本次采购活动前的会计报表（成立不满一个月不需提供），或其银行出具的资信证书（复印件）（开标前三个月内），或其上一年度经审计的财务报告复印件加盖公章。</w:t>
      </w:r>
    </w:p>
    <w:p>
      <w:pPr>
        <w:pStyle w:val="34"/>
        <w:widowControl w:val="0"/>
        <w:spacing w:before="0" w:beforeAutospacing="0" w:after="0" w:afterAutospacing="0" w:line="360" w:lineRule="auto"/>
        <w:ind w:firstLine="480" w:firstLineChars="200"/>
        <w:jc w:val="both"/>
      </w:pPr>
      <w:r>
        <w:rPr>
          <w:rFonts w:hint="eastAsia"/>
        </w:rPr>
        <w:t>4、参加政府采购活动近三年内，在经营活动中没有重大违法记录（提供承诺书，格式自拟）或提供检察机关出具的行贿犯罪档案查询结果告知函。</w:t>
      </w:r>
    </w:p>
    <w:p>
      <w:pPr>
        <w:pStyle w:val="34"/>
        <w:widowControl w:val="0"/>
        <w:spacing w:before="0" w:beforeAutospacing="0" w:after="0" w:afterAutospacing="0" w:line="360" w:lineRule="auto"/>
        <w:ind w:firstLine="480" w:firstLineChars="200"/>
        <w:jc w:val="both"/>
      </w:pPr>
      <w:r>
        <w:rPr>
          <w:rFonts w:hint="eastAsia"/>
        </w:rPr>
        <w:t>5、投标人需要提供近三个月内任意一个月的依法缴纳税收的记录。</w:t>
      </w:r>
    </w:p>
    <w:p>
      <w:pPr>
        <w:pStyle w:val="34"/>
        <w:widowControl w:val="0"/>
        <w:spacing w:before="0" w:beforeAutospacing="0" w:after="0" w:afterAutospacing="0" w:line="360" w:lineRule="auto"/>
        <w:ind w:left="479" w:leftChars="228"/>
        <w:jc w:val="both"/>
      </w:pPr>
      <w:r>
        <w:rPr>
          <w:rFonts w:hint="eastAsia"/>
        </w:rPr>
        <w:t>6、投标人需要提供近三个月内任意一个月的依法缴纳社会保障资金的记录。7、法律、行政法规规定的其他条件。</w:t>
      </w:r>
    </w:p>
    <w:p>
      <w:pPr>
        <w:pStyle w:val="34"/>
        <w:widowControl w:val="0"/>
        <w:spacing w:before="0" w:beforeAutospacing="0" w:after="0" w:afterAutospacing="0" w:line="360" w:lineRule="auto"/>
        <w:ind w:firstLine="480" w:firstLineChars="200"/>
        <w:jc w:val="both"/>
      </w:pPr>
      <w:r>
        <w:rPr>
          <w:rFonts w:hint="eastAsia"/>
        </w:rPr>
        <w:t>（二）本次招标不接受联合体投标。</w:t>
      </w:r>
    </w:p>
    <w:p>
      <w:pPr>
        <w:pStyle w:val="34"/>
        <w:widowControl w:val="0"/>
        <w:spacing w:before="0" w:beforeAutospacing="0" w:after="0" w:afterAutospacing="0" w:line="360" w:lineRule="auto"/>
        <w:ind w:firstLine="480" w:firstLineChars="200"/>
        <w:jc w:val="both"/>
      </w:pPr>
      <w:r>
        <w:rPr>
          <w:rFonts w:hint="eastAsia"/>
        </w:rPr>
        <w:t>（三）本次招标不接受进口产品投标。</w:t>
      </w:r>
    </w:p>
    <w:p>
      <w:pPr>
        <w:pStyle w:val="34"/>
        <w:widowControl w:val="0"/>
        <w:spacing w:before="0" w:beforeAutospacing="0" w:after="0" w:afterAutospacing="0" w:line="360" w:lineRule="auto"/>
        <w:ind w:firstLine="480" w:firstLineChars="200"/>
        <w:jc w:val="both"/>
      </w:pPr>
      <w:r>
        <w:rPr>
          <w:rFonts w:hint="eastAsia"/>
        </w:rPr>
        <w:t>（四）中标后不允许转包、分包本工程。</w:t>
      </w:r>
    </w:p>
    <w:p>
      <w:pPr>
        <w:pStyle w:val="34"/>
        <w:widowControl w:val="0"/>
        <w:spacing w:before="0" w:beforeAutospacing="0" w:after="0" w:afterAutospacing="0" w:line="360" w:lineRule="auto"/>
        <w:ind w:firstLine="480" w:firstLineChars="200"/>
        <w:jc w:val="both"/>
      </w:pPr>
      <w:r>
        <w:t>3</w:t>
      </w:r>
      <w:r>
        <w:rPr>
          <w:rFonts w:hint="eastAsia"/>
        </w:rPr>
        <w:t>、本项目的特定资格要求：无</w:t>
      </w:r>
    </w:p>
    <w:p>
      <w:pPr>
        <w:pStyle w:val="3"/>
        <w:keepNext w:val="0"/>
        <w:keepLines w:val="0"/>
        <w:spacing w:before="0" w:after="0" w:line="360" w:lineRule="auto"/>
        <w:rPr>
          <w:bCs/>
          <w:sz w:val="24"/>
          <w:szCs w:val="24"/>
        </w:rPr>
      </w:pPr>
      <w:r>
        <w:rPr>
          <w:rFonts w:hint="eastAsia"/>
          <w:bCs/>
          <w:sz w:val="24"/>
          <w:szCs w:val="24"/>
        </w:rPr>
        <w:t>三、获取招标文件</w:t>
      </w:r>
    </w:p>
    <w:p>
      <w:pPr>
        <w:pStyle w:val="34"/>
        <w:widowControl w:val="0"/>
        <w:spacing w:before="0" w:beforeAutospacing="0" w:after="0" w:afterAutospacing="0" w:line="360" w:lineRule="auto"/>
        <w:ind w:firstLine="480" w:firstLineChars="200"/>
        <w:jc w:val="both"/>
      </w:pPr>
      <w:r>
        <w:rPr>
          <w:rFonts w:hint="eastAsia"/>
        </w:rPr>
        <w:t>方式：</w:t>
      </w:r>
      <w:r>
        <w:rPr>
          <w:rFonts w:hint="eastAsia"/>
          <w:u w:val="single"/>
        </w:rPr>
        <w:t>因疫情原因购买招标文件方式改为网上下载方式(不现场发售)。</w:t>
      </w:r>
      <w:r>
        <w:t xml:space="preserve"> </w:t>
      </w:r>
    </w:p>
    <w:p>
      <w:pPr>
        <w:pStyle w:val="34"/>
        <w:widowControl w:val="0"/>
        <w:spacing w:before="0" w:beforeAutospacing="0" w:after="0" w:afterAutospacing="0" w:line="360" w:lineRule="auto"/>
        <w:ind w:firstLine="480" w:firstLineChars="200"/>
        <w:jc w:val="both"/>
      </w:pPr>
      <w:r>
        <w:rPr>
          <w:rFonts w:hint="eastAsia"/>
        </w:rPr>
        <w:t>售价：不收取费用</w:t>
      </w:r>
    </w:p>
    <w:p>
      <w:pPr>
        <w:pStyle w:val="3"/>
        <w:keepNext w:val="0"/>
        <w:keepLines w:val="0"/>
        <w:spacing w:before="0" w:after="0" w:line="360" w:lineRule="auto"/>
        <w:rPr>
          <w:bCs/>
          <w:sz w:val="24"/>
          <w:szCs w:val="24"/>
        </w:rPr>
      </w:pPr>
      <w:r>
        <w:rPr>
          <w:rFonts w:hint="eastAsia"/>
          <w:bCs/>
          <w:sz w:val="24"/>
          <w:szCs w:val="24"/>
        </w:rPr>
        <w:t>四、提交投标文件截止时间、开标时间和地点</w:t>
      </w:r>
    </w:p>
    <w:p>
      <w:pPr>
        <w:pStyle w:val="34"/>
        <w:widowControl w:val="0"/>
        <w:spacing w:before="0" w:beforeAutospacing="0" w:after="0" w:afterAutospacing="0" w:line="360" w:lineRule="auto"/>
        <w:ind w:firstLine="480" w:firstLineChars="200"/>
        <w:jc w:val="both"/>
      </w:pPr>
      <w:r>
        <w:rPr>
          <w:rFonts w:hint="eastAsia"/>
        </w:rPr>
        <w:t>文件提交截止时间：</w:t>
      </w:r>
      <w:r>
        <w:rPr>
          <w:u w:val="single"/>
        </w:rPr>
        <w:t>2021</w:t>
      </w:r>
      <w:r>
        <w:rPr>
          <w:rFonts w:hint="eastAsia"/>
          <w:u w:val="single"/>
        </w:rPr>
        <w:t>年</w:t>
      </w:r>
      <w:r>
        <w:rPr>
          <w:u w:val="single"/>
        </w:rPr>
        <w:t>12</w:t>
      </w:r>
      <w:r>
        <w:rPr>
          <w:rFonts w:hint="eastAsia"/>
          <w:u w:val="single"/>
        </w:rPr>
        <w:t>月</w:t>
      </w:r>
      <w:r>
        <w:rPr>
          <w:u w:val="single"/>
        </w:rPr>
        <w:t>27</w:t>
      </w:r>
      <w:r>
        <w:rPr>
          <w:rFonts w:hint="eastAsia"/>
          <w:u w:val="single"/>
        </w:rPr>
        <w:t>日上午9时</w:t>
      </w:r>
      <w:r>
        <w:rPr>
          <w:u w:val="single"/>
        </w:rPr>
        <w:t>15</w:t>
      </w:r>
      <w:r>
        <w:rPr>
          <w:rFonts w:hint="eastAsia"/>
          <w:u w:val="single"/>
        </w:rPr>
        <w:t>分</w:t>
      </w:r>
      <w:r>
        <w:rPr>
          <w:rFonts w:hint="eastAsia"/>
        </w:rPr>
        <w:t>（北京时间）</w:t>
      </w:r>
    </w:p>
    <w:p>
      <w:pPr>
        <w:pStyle w:val="34"/>
        <w:widowControl w:val="0"/>
        <w:spacing w:before="0" w:beforeAutospacing="0" w:after="0" w:afterAutospacing="0" w:line="360" w:lineRule="auto"/>
        <w:ind w:firstLine="480" w:firstLineChars="200"/>
        <w:jc w:val="both"/>
      </w:pPr>
      <w:r>
        <w:rPr>
          <w:rFonts w:hint="eastAsia"/>
        </w:rPr>
        <w:t>文件开启时间：</w:t>
      </w:r>
      <w:r>
        <w:rPr>
          <w:u w:val="single"/>
        </w:rPr>
        <w:t>2021</w:t>
      </w:r>
      <w:r>
        <w:rPr>
          <w:rFonts w:hint="eastAsia"/>
          <w:u w:val="single"/>
        </w:rPr>
        <w:t>年</w:t>
      </w:r>
      <w:r>
        <w:rPr>
          <w:u w:val="single"/>
        </w:rPr>
        <w:t>12</w:t>
      </w:r>
      <w:r>
        <w:rPr>
          <w:rFonts w:hint="eastAsia"/>
          <w:u w:val="single"/>
        </w:rPr>
        <w:t>月</w:t>
      </w:r>
      <w:r>
        <w:rPr>
          <w:u w:val="single"/>
        </w:rPr>
        <w:t>27</w:t>
      </w:r>
      <w:r>
        <w:rPr>
          <w:rFonts w:hint="eastAsia"/>
          <w:u w:val="single"/>
        </w:rPr>
        <w:t>日上午9时</w:t>
      </w:r>
      <w:r>
        <w:rPr>
          <w:u w:val="single"/>
        </w:rPr>
        <w:t>30</w:t>
      </w:r>
      <w:r>
        <w:rPr>
          <w:rFonts w:hint="eastAsia"/>
          <w:u w:val="single"/>
        </w:rPr>
        <w:t>分后</w:t>
      </w:r>
      <w:r>
        <w:rPr>
          <w:rFonts w:hint="eastAsia"/>
        </w:rPr>
        <w:t>（北京时间）</w:t>
      </w:r>
    </w:p>
    <w:p>
      <w:pPr>
        <w:adjustRightInd w:val="0"/>
        <w:snapToGrid w:val="0"/>
        <w:spacing w:line="360" w:lineRule="exact"/>
        <w:ind w:firstLine="420" w:firstLineChars="200"/>
      </w:pPr>
      <w:r>
        <w:rPr>
          <w:rFonts w:hint="eastAsia"/>
        </w:rPr>
        <w:t>地点：</w:t>
      </w:r>
      <w:r>
        <w:rPr>
          <w:rFonts w:hint="eastAsia" w:ascii="宋体" w:hAnsi="宋体"/>
          <w:sz w:val="24"/>
          <w:szCs w:val="24"/>
        </w:rPr>
        <w:t>南京市神农路1号南京特殊教育师范学院办公楼国资处会议室</w:t>
      </w:r>
    </w:p>
    <w:p>
      <w:pPr>
        <w:pStyle w:val="3"/>
        <w:keepNext w:val="0"/>
        <w:keepLines w:val="0"/>
        <w:spacing w:before="0" w:after="0" w:line="360" w:lineRule="auto"/>
        <w:rPr>
          <w:bCs/>
          <w:sz w:val="24"/>
          <w:szCs w:val="24"/>
        </w:rPr>
      </w:pPr>
      <w:r>
        <w:rPr>
          <w:rFonts w:hint="eastAsia"/>
          <w:bCs/>
          <w:sz w:val="24"/>
          <w:szCs w:val="24"/>
        </w:rPr>
        <w:t>五、公告期限</w:t>
      </w:r>
    </w:p>
    <w:p>
      <w:pPr>
        <w:ind w:firstLine="480" w:firstLineChars="200"/>
      </w:pPr>
      <w:r>
        <w:rPr>
          <w:rFonts w:hint="eastAsia" w:ascii="宋体" w:hAnsi="宋体" w:cs="宋体"/>
          <w:kern w:val="0"/>
          <w:sz w:val="24"/>
          <w:szCs w:val="24"/>
        </w:rPr>
        <w:t>自本公告发布之日起</w:t>
      </w:r>
      <w:r>
        <w:rPr>
          <w:rFonts w:ascii="宋体" w:hAnsi="宋体" w:cs="宋体"/>
          <w:kern w:val="0"/>
          <w:sz w:val="24"/>
          <w:szCs w:val="24"/>
        </w:rPr>
        <w:t>10</w:t>
      </w:r>
      <w:r>
        <w:rPr>
          <w:rFonts w:hint="eastAsia" w:ascii="宋体" w:hAnsi="宋体" w:cs="宋体"/>
          <w:kern w:val="0"/>
          <w:sz w:val="24"/>
          <w:szCs w:val="24"/>
        </w:rPr>
        <w:t>日。</w:t>
      </w:r>
      <w:bookmarkStart w:id="395" w:name="_GoBack"/>
      <w:bookmarkEnd w:id="395"/>
    </w:p>
    <w:p>
      <w:pPr>
        <w:pStyle w:val="3"/>
        <w:keepNext w:val="0"/>
        <w:keepLines w:val="0"/>
        <w:spacing w:before="0" w:after="0" w:line="360" w:lineRule="auto"/>
        <w:rPr>
          <w:bCs/>
          <w:sz w:val="24"/>
          <w:szCs w:val="24"/>
        </w:rPr>
      </w:pPr>
      <w:r>
        <w:rPr>
          <w:rFonts w:hint="eastAsia"/>
          <w:bCs/>
          <w:sz w:val="24"/>
          <w:szCs w:val="24"/>
        </w:rPr>
        <w:t>六、其他补充事宜</w:t>
      </w:r>
    </w:p>
    <w:p>
      <w:pPr>
        <w:pStyle w:val="34"/>
        <w:widowControl w:val="0"/>
        <w:spacing w:before="0" w:beforeAutospacing="0" w:after="0" w:afterAutospacing="0" w:line="360" w:lineRule="auto"/>
        <w:ind w:firstLine="480" w:firstLineChars="200"/>
        <w:jc w:val="both"/>
      </w:pPr>
      <w:r>
        <w:rPr>
          <w:rFonts w:hint="eastAsia"/>
        </w:rPr>
        <w:t>拒绝下述投标人参加本次采购活动：</w:t>
      </w:r>
    </w:p>
    <w:p>
      <w:pPr>
        <w:pStyle w:val="34"/>
        <w:widowControl w:val="0"/>
        <w:spacing w:before="0" w:beforeAutospacing="0" w:after="0" w:afterAutospacing="0" w:line="360" w:lineRule="auto"/>
        <w:ind w:firstLine="480" w:firstLineChars="200"/>
        <w:jc w:val="both"/>
      </w:pPr>
      <w:r>
        <w:rPr>
          <w:rFonts w:hint="eastAsia"/>
        </w:rPr>
        <w:t>（</w:t>
      </w:r>
      <w:r>
        <w:rPr>
          <w:rFonts w:ascii="Times New Roman" w:hAnsi="Times New Roman" w:cs="Times New Roman"/>
        </w:rPr>
        <w:t>1</w:t>
      </w:r>
      <w:r>
        <w:rPr>
          <w:rFonts w:hint="eastAsia"/>
        </w:rPr>
        <w:t>）投标人单位负责人为同一人或者存在直接控股、管理关系的不同投标人，不得参加同一合同项下的政府采购活动；</w:t>
      </w:r>
    </w:p>
    <w:p>
      <w:pPr>
        <w:pStyle w:val="34"/>
        <w:widowControl w:val="0"/>
        <w:spacing w:before="0" w:beforeAutospacing="0" w:after="0" w:afterAutospacing="0" w:line="360" w:lineRule="auto"/>
        <w:ind w:firstLine="480" w:firstLineChars="200"/>
        <w:jc w:val="both"/>
      </w:pPr>
      <w:r>
        <w:rPr>
          <w:rFonts w:hint="eastAsia"/>
        </w:rPr>
        <w:t>（</w:t>
      </w:r>
      <w:r>
        <w:rPr>
          <w:rFonts w:ascii="Times New Roman" w:hAnsi="Times New Roman" w:cs="Times New Roman"/>
        </w:rPr>
        <w:t>2</w:t>
      </w:r>
      <w:r>
        <w:rPr>
          <w:rFonts w:hint="eastAsia"/>
        </w:rPr>
        <w:t>）凡为采购项目提供整体设计、规范编制或者项目管理、监理、检测等服务的投标人，不得再参加本项目的采购活动；</w:t>
      </w:r>
    </w:p>
    <w:p>
      <w:pPr>
        <w:pStyle w:val="34"/>
        <w:widowControl w:val="0"/>
        <w:spacing w:before="0" w:beforeAutospacing="0" w:after="0" w:afterAutospacing="0" w:line="360" w:lineRule="auto"/>
        <w:ind w:firstLine="480" w:firstLineChars="200"/>
        <w:jc w:val="both"/>
      </w:pPr>
      <w:r>
        <w:rPr>
          <w:rFonts w:hint="eastAsia"/>
        </w:rPr>
        <w:t>（</w:t>
      </w:r>
      <w:r>
        <w:rPr>
          <w:rFonts w:ascii="Times New Roman" w:hAnsi="Times New Roman" w:cs="Times New Roman"/>
        </w:rPr>
        <w:t>3</w:t>
      </w:r>
      <w:r>
        <w:rPr>
          <w:rFonts w:hint="eastAsia"/>
        </w:rPr>
        <w:t>）投标人被“信用中国”网站（</w:t>
      </w:r>
      <w:r>
        <w:rPr>
          <w:rFonts w:ascii="Times New Roman" w:hAnsi="Times New Roman" w:cs="Times New Roman"/>
        </w:rPr>
        <w:t>www.creditchina.gov.cn</w:t>
      </w:r>
      <w:r>
        <w:rPr>
          <w:rFonts w:hint="eastAsia"/>
        </w:rPr>
        <w:t>）列入失信被执行人、重大税收违法案件当事人名单、政府采购严重违法失信行为记录名单。</w:t>
      </w:r>
    </w:p>
    <w:p>
      <w:pPr>
        <w:pStyle w:val="3"/>
        <w:keepNext w:val="0"/>
        <w:keepLines w:val="0"/>
        <w:spacing w:before="0" w:after="0" w:line="360" w:lineRule="auto"/>
        <w:rPr>
          <w:bCs/>
          <w:sz w:val="24"/>
          <w:szCs w:val="24"/>
        </w:rPr>
      </w:pPr>
      <w:r>
        <w:rPr>
          <w:rFonts w:hint="eastAsia"/>
          <w:bCs/>
          <w:sz w:val="24"/>
          <w:szCs w:val="24"/>
        </w:rPr>
        <w:t>七、对本次招标提出询问，请按以下方式联系。</w:t>
      </w:r>
    </w:p>
    <w:p>
      <w:pPr>
        <w:pStyle w:val="34"/>
        <w:widowControl w:val="0"/>
        <w:spacing w:before="0" w:beforeAutospacing="0" w:after="0" w:afterAutospacing="0" w:line="360" w:lineRule="auto"/>
        <w:ind w:firstLine="482" w:firstLineChars="200"/>
        <w:jc w:val="both"/>
      </w:pPr>
      <w:r>
        <w:rPr>
          <w:rStyle w:val="41"/>
        </w:rPr>
        <w:t>1</w:t>
      </w:r>
      <w:r>
        <w:rPr>
          <w:rStyle w:val="41"/>
          <w:rFonts w:hint="eastAsia"/>
        </w:rPr>
        <w:t>、采购人信息</w:t>
      </w:r>
    </w:p>
    <w:p>
      <w:pPr>
        <w:pStyle w:val="34"/>
        <w:widowControl w:val="0"/>
        <w:spacing w:before="0" w:beforeAutospacing="0" w:after="0" w:afterAutospacing="0" w:line="360" w:lineRule="auto"/>
        <w:ind w:firstLine="480" w:firstLineChars="200"/>
        <w:jc w:val="both"/>
      </w:pPr>
      <w:r>
        <w:rPr>
          <w:rFonts w:hint="eastAsia"/>
        </w:rPr>
        <w:t>名称：南京特殊教育师范学院</w:t>
      </w:r>
    </w:p>
    <w:p>
      <w:pPr>
        <w:adjustRightInd w:val="0"/>
        <w:snapToGrid w:val="0"/>
        <w:spacing w:line="360" w:lineRule="exact"/>
        <w:ind w:firstLine="480" w:firstLineChars="200"/>
        <w:rPr>
          <w:rFonts w:ascii="宋体" w:hAnsi="宋体"/>
          <w:sz w:val="24"/>
          <w:szCs w:val="24"/>
        </w:rPr>
      </w:pPr>
      <w:r>
        <w:rPr>
          <w:rFonts w:hint="eastAsia" w:ascii="宋体" w:hAnsi="宋体"/>
          <w:sz w:val="24"/>
          <w:szCs w:val="24"/>
        </w:rPr>
        <w:t>联系人： 陈老师、陆老师     联系电话：89668046</w:t>
      </w:r>
    </w:p>
    <w:p>
      <w:pPr>
        <w:pStyle w:val="34"/>
        <w:widowControl w:val="0"/>
        <w:spacing w:before="0" w:beforeAutospacing="0" w:after="0" w:afterAutospacing="0" w:line="360" w:lineRule="auto"/>
        <w:ind w:firstLine="482" w:firstLineChars="200"/>
        <w:jc w:val="both"/>
      </w:pPr>
      <w:r>
        <w:rPr>
          <w:rStyle w:val="41"/>
          <w:rFonts w:hint="eastAsia"/>
        </w:rPr>
        <w:t>2、项目联系方式</w:t>
      </w:r>
    </w:p>
    <w:p>
      <w:pPr>
        <w:pStyle w:val="34"/>
        <w:widowControl w:val="0"/>
        <w:spacing w:before="0" w:beforeAutospacing="0" w:after="0" w:afterAutospacing="0" w:line="360" w:lineRule="auto"/>
        <w:ind w:firstLine="480" w:firstLineChars="200"/>
        <w:jc w:val="both"/>
      </w:pPr>
      <w:r>
        <w:t>项目联系人：</w:t>
      </w:r>
      <w:r>
        <w:rPr>
          <w:rFonts w:hint="eastAsia"/>
        </w:rPr>
        <w:t>薛老师</w:t>
      </w:r>
    </w:p>
    <w:p>
      <w:pPr>
        <w:pStyle w:val="34"/>
        <w:widowControl w:val="0"/>
        <w:spacing w:before="0" w:beforeAutospacing="0" w:after="0" w:afterAutospacing="0" w:line="360" w:lineRule="auto"/>
        <w:ind w:firstLine="480" w:firstLineChars="200"/>
        <w:jc w:val="both"/>
      </w:pPr>
      <w:r>
        <w:rPr>
          <w:rFonts w:hint="eastAsia"/>
        </w:rPr>
        <w:t xml:space="preserve"> 电　话：18936932220</w:t>
      </w:r>
    </w:p>
    <w:p>
      <w:pPr>
        <w:spacing w:line="360" w:lineRule="auto"/>
        <w:ind w:firstLine="420" w:firstLineChars="200"/>
      </w:pPr>
    </w:p>
    <w:p>
      <w:pPr>
        <w:pStyle w:val="27"/>
        <w:tabs>
          <w:tab w:val="right" w:leader="dot" w:pos="8296"/>
        </w:tabs>
        <w:rPr>
          <w:rFonts w:ascii="黑体" w:hAnsi="黑体" w:eastAsia="黑体"/>
          <w:b/>
          <w:sz w:val="32"/>
        </w:rPr>
      </w:pPr>
    </w:p>
    <w:p/>
    <w:p>
      <w:pPr>
        <w:pStyle w:val="27"/>
        <w:tabs>
          <w:tab w:val="right" w:leader="dot" w:pos="8296"/>
        </w:tabs>
        <w:rPr>
          <w:rFonts w:ascii="黑体" w:hAnsi="黑体" w:eastAsia="黑体"/>
          <w:b/>
          <w:sz w:val="32"/>
        </w:rPr>
      </w:pPr>
      <w:r>
        <w:rPr>
          <w:rFonts w:ascii="黑体" w:hAnsi="黑体" w:eastAsia="黑体"/>
          <w:b/>
          <w:sz w:val="32"/>
        </w:rPr>
        <w:br w:type="page"/>
      </w:r>
      <w:r>
        <w:rPr>
          <w:rFonts w:hint="eastAsia" w:ascii="黑体" w:hAnsi="黑体" w:eastAsia="黑体"/>
          <w:b/>
          <w:sz w:val="32"/>
        </w:rPr>
        <w:t>第二章 投标人须知</w:t>
      </w:r>
      <w:bookmarkEnd w:id="0"/>
      <w:bookmarkEnd w:id="1"/>
      <w:bookmarkEnd w:id="2"/>
      <w:bookmarkEnd w:id="3"/>
      <w:bookmarkEnd w:id="4"/>
      <w:bookmarkEnd w:id="5"/>
    </w:p>
    <w:p>
      <w:pPr>
        <w:spacing w:line="400" w:lineRule="exact"/>
      </w:pPr>
    </w:p>
    <w:p>
      <w:pPr>
        <w:pStyle w:val="95"/>
      </w:pPr>
      <w:bookmarkStart w:id="6" w:name="_Toc227984000"/>
      <w:bookmarkStart w:id="7" w:name="_Toc499821503"/>
      <w:bookmarkStart w:id="8" w:name="_Toc269886738"/>
      <w:bookmarkStart w:id="9" w:name="_Toc152042304"/>
      <w:bookmarkStart w:id="10" w:name="_Toc144974496"/>
      <w:bookmarkStart w:id="11" w:name="_Toc152045528"/>
      <w:bookmarkStart w:id="12" w:name="_Toc499830046"/>
      <w:r>
        <w:rPr>
          <w:rFonts w:hint="eastAsia"/>
        </w:rPr>
        <w:t>投标人须知前附表</w:t>
      </w:r>
      <w:bookmarkEnd w:id="6"/>
      <w:bookmarkEnd w:id="7"/>
      <w:bookmarkEnd w:id="8"/>
      <w:bookmarkEnd w:id="9"/>
      <w:bookmarkEnd w:id="10"/>
      <w:bookmarkEnd w:id="11"/>
      <w:bookmarkEnd w:id="12"/>
    </w:p>
    <w:p>
      <w:r>
        <w:rPr>
          <w:rFonts w:hint="eastAsia"/>
        </w:rPr>
        <w:t>投标人须知前附表与正文内容相抵触的，以正文为准。</w:t>
      </w:r>
    </w:p>
    <w:tbl>
      <w:tblPr>
        <w:tblStyle w:val="3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07"/>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blHeader/>
        </w:trPr>
        <w:tc>
          <w:tcPr>
            <w:tcW w:w="675" w:type="dxa"/>
            <w:vAlign w:val="center"/>
          </w:tcPr>
          <w:p>
            <w:pPr>
              <w:snapToGrid w:val="0"/>
              <w:jc w:val="center"/>
              <w:rPr>
                <w:rFonts w:ascii="宋体" w:hAnsi="宋体"/>
                <w:b/>
                <w:szCs w:val="21"/>
              </w:rPr>
            </w:pPr>
            <w:r>
              <w:rPr>
                <w:rFonts w:hint="eastAsia" w:ascii="宋体" w:hAnsi="宋体"/>
                <w:b/>
                <w:szCs w:val="21"/>
              </w:rPr>
              <w:t>序号</w:t>
            </w:r>
          </w:p>
        </w:tc>
        <w:tc>
          <w:tcPr>
            <w:tcW w:w="1407" w:type="dxa"/>
            <w:vAlign w:val="center"/>
          </w:tcPr>
          <w:p>
            <w:pPr>
              <w:snapToGrid w:val="0"/>
              <w:jc w:val="center"/>
              <w:rPr>
                <w:rFonts w:ascii="宋体" w:hAnsi="宋体"/>
                <w:b/>
                <w:szCs w:val="21"/>
              </w:rPr>
            </w:pPr>
            <w:r>
              <w:rPr>
                <w:rFonts w:hint="eastAsia" w:ascii="宋体" w:hAnsi="宋体"/>
                <w:b/>
                <w:szCs w:val="21"/>
              </w:rPr>
              <w:t>项目</w:t>
            </w:r>
          </w:p>
        </w:tc>
        <w:tc>
          <w:tcPr>
            <w:tcW w:w="6815" w:type="dxa"/>
            <w:vAlign w:val="center"/>
          </w:tcPr>
          <w:p>
            <w:pPr>
              <w:snapToGrid w:val="0"/>
              <w:jc w:val="center"/>
              <w:rPr>
                <w:rFonts w:ascii="宋体" w:hAnsi="宋体"/>
                <w:b/>
                <w:szCs w:val="21"/>
              </w:rPr>
            </w:pPr>
            <w:r>
              <w:rPr>
                <w:rFonts w:hint="eastAsia" w:ascii="宋体" w:hAnsi="宋体"/>
                <w:b/>
                <w:szCs w:val="21"/>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Align w:val="center"/>
          </w:tcPr>
          <w:p>
            <w:pPr>
              <w:snapToGrid w:val="0"/>
              <w:jc w:val="center"/>
              <w:rPr>
                <w:rFonts w:ascii="宋体" w:hAnsi="宋体"/>
                <w:szCs w:val="21"/>
              </w:rPr>
            </w:pPr>
            <w:r>
              <w:rPr>
                <w:rFonts w:hint="eastAsia" w:ascii="宋体" w:hAnsi="宋体"/>
                <w:szCs w:val="21"/>
              </w:rPr>
              <w:t>1</w:t>
            </w:r>
          </w:p>
        </w:tc>
        <w:tc>
          <w:tcPr>
            <w:tcW w:w="1407" w:type="dxa"/>
            <w:vAlign w:val="center"/>
          </w:tcPr>
          <w:p>
            <w:pPr>
              <w:snapToGrid w:val="0"/>
              <w:jc w:val="center"/>
              <w:rPr>
                <w:rFonts w:ascii="宋体" w:hAnsi="宋体"/>
                <w:szCs w:val="21"/>
              </w:rPr>
            </w:pPr>
            <w:r>
              <w:rPr>
                <w:rFonts w:hint="eastAsia" w:ascii="宋体" w:hAnsi="宋体"/>
                <w:szCs w:val="21"/>
              </w:rPr>
              <w:t>项目名称</w:t>
            </w:r>
          </w:p>
        </w:tc>
        <w:tc>
          <w:tcPr>
            <w:tcW w:w="6815" w:type="dxa"/>
            <w:vAlign w:val="center"/>
          </w:tcPr>
          <w:p>
            <w:pPr>
              <w:ind w:right="-57" w:rightChars="-27"/>
              <w:jc w:val="left"/>
              <w:rPr>
                <w:rFonts w:ascii="宋体" w:hAnsi="宋体"/>
                <w:szCs w:val="21"/>
              </w:rPr>
            </w:pPr>
            <w:r>
              <w:rPr>
                <w:rFonts w:hint="eastAsia" w:ascii="宋体" w:hAnsi="宋体"/>
                <w:szCs w:val="21"/>
              </w:rPr>
              <w:t>南京特殊教育师范学院燕子矶校区树木修剪服务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Align w:val="center"/>
          </w:tcPr>
          <w:p>
            <w:pPr>
              <w:snapToGrid w:val="0"/>
              <w:jc w:val="center"/>
              <w:rPr>
                <w:rFonts w:ascii="宋体" w:hAnsi="宋体"/>
                <w:szCs w:val="21"/>
              </w:rPr>
            </w:pPr>
            <w:r>
              <w:rPr>
                <w:rFonts w:hint="eastAsia" w:ascii="宋体" w:hAnsi="宋体"/>
                <w:szCs w:val="21"/>
              </w:rPr>
              <w:t>2</w:t>
            </w:r>
          </w:p>
        </w:tc>
        <w:tc>
          <w:tcPr>
            <w:tcW w:w="1407" w:type="dxa"/>
            <w:vAlign w:val="center"/>
          </w:tcPr>
          <w:p>
            <w:pPr>
              <w:snapToGrid w:val="0"/>
              <w:jc w:val="center"/>
              <w:rPr>
                <w:rFonts w:ascii="宋体" w:hAnsi="宋体"/>
                <w:szCs w:val="21"/>
              </w:rPr>
            </w:pPr>
            <w:r>
              <w:rPr>
                <w:rFonts w:hint="eastAsia" w:ascii="宋体" w:hAnsi="宋体"/>
                <w:szCs w:val="21"/>
              </w:rPr>
              <w:t>采购方式</w:t>
            </w:r>
          </w:p>
        </w:tc>
        <w:tc>
          <w:tcPr>
            <w:tcW w:w="6815" w:type="dxa"/>
            <w:vAlign w:val="center"/>
          </w:tcPr>
          <w:p>
            <w:pPr>
              <w:snapToGrid w:val="0"/>
              <w:rPr>
                <w:rFonts w:ascii="宋体" w:hAnsi="宋体"/>
                <w:szCs w:val="21"/>
              </w:rPr>
            </w:pPr>
            <w:r>
              <w:rPr>
                <w:rFonts w:hint="eastAsia" w:ascii="宋体" w:hAnsi="宋体"/>
                <w:szCs w:val="21"/>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napToGrid w:val="0"/>
              <w:jc w:val="center"/>
              <w:rPr>
                <w:rFonts w:ascii="宋体" w:hAnsi="宋体"/>
                <w:szCs w:val="21"/>
              </w:rPr>
            </w:pPr>
            <w:r>
              <w:rPr>
                <w:rFonts w:hint="eastAsia" w:ascii="宋体" w:hAnsi="宋体"/>
                <w:szCs w:val="21"/>
              </w:rPr>
              <w:t>3</w:t>
            </w:r>
          </w:p>
        </w:tc>
        <w:tc>
          <w:tcPr>
            <w:tcW w:w="1407" w:type="dxa"/>
            <w:vAlign w:val="center"/>
          </w:tcPr>
          <w:p>
            <w:pPr>
              <w:snapToGrid w:val="0"/>
              <w:jc w:val="center"/>
              <w:rPr>
                <w:rFonts w:ascii="宋体" w:hAnsi="宋体"/>
                <w:szCs w:val="21"/>
              </w:rPr>
            </w:pPr>
            <w:r>
              <w:rPr>
                <w:rFonts w:hint="eastAsia" w:ascii="宋体" w:hAnsi="宋体"/>
                <w:szCs w:val="21"/>
              </w:rPr>
              <w:t>采购编号</w:t>
            </w:r>
          </w:p>
        </w:tc>
        <w:tc>
          <w:tcPr>
            <w:tcW w:w="6815" w:type="dxa"/>
            <w:vAlign w:val="center"/>
          </w:tcPr>
          <w:p>
            <w:pPr>
              <w:snapToGrid w:val="0"/>
              <w:rPr>
                <w:rFonts w:ascii="宋体" w:hAnsi="宋体"/>
                <w:szCs w:val="21"/>
              </w:rPr>
            </w:pPr>
            <w:r>
              <w:rPr>
                <w:rFonts w:hint="eastAsia" w:ascii="宋体" w:hAnsi="宋体"/>
                <w:szCs w:val="21"/>
              </w:rPr>
              <w:t>2</w:t>
            </w:r>
            <w:r>
              <w:rPr>
                <w:rFonts w:ascii="宋体" w:hAnsi="宋体"/>
                <w:szCs w:val="21"/>
              </w:rPr>
              <w:t>0211102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75" w:type="dxa"/>
            <w:vAlign w:val="center"/>
          </w:tcPr>
          <w:p>
            <w:pPr>
              <w:snapToGrid w:val="0"/>
              <w:ind w:right="102"/>
              <w:jc w:val="center"/>
              <w:rPr>
                <w:rFonts w:ascii="宋体" w:hAnsi="宋体"/>
                <w:szCs w:val="21"/>
              </w:rPr>
            </w:pPr>
            <w:r>
              <w:rPr>
                <w:rFonts w:hint="eastAsia" w:ascii="宋体" w:hAnsi="宋体"/>
                <w:szCs w:val="21"/>
              </w:rPr>
              <w:t>4</w:t>
            </w:r>
          </w:p>
        </w:tc>
        <w:tc>
          <w:tcPr>
            <w:tcW w:w="1407" w:type="dxa"/>
            <w:vAlign w:val="center"/>
          </w:tcPr>
          <w:p>
            <w:pPr>
              <w:snapToGrid w:val="0"/>
              <w:ind w:right="102"/>
              <w:jc w:val="center"/>
              <w:rPr>
                <w:rFonts w:ascii="宋体" w:hAnsi="宋体"/>
                <w:szCs w:val="21"/>
              </w:rPr>
            </w:pPr>
            <w:r>
              <w:rPr>
                <w:rFonts w:hint="eastAsia" w:ascii="宋体" w:hAnsi="宋体"/>
                <w:szCs w:val="21"/>
              </w:rPr>
              <w:t>分包</w:t>
            </w:r>
          </w:p>
        </w:tc>
        <w:tc>
          <w:tcPr>
            <w:tcW w:w="6815" w:type="dxa"/>
            <w:vAlign w:val="center"/>
          </w:tcPr>
          <w:p>
            <w:pPr>
              <w:snapToGrid w:val="0"/>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75" w:type="dxa"/>
            <w:vAlign w:val="center"/>
          </w:tcPr>
          <w:p>
            <w:pPr>
              <w:snapToGrid w:val="0"/>
              <w:ind w:right="102"/>
              <w:jc w:val="center"/>
              <w:rPr>
                <w:rFonts w:ascii="宋体" w:hAnsi="宋体"/>
                <w:szCs w:val="21"/>
              </w:rPr>
            </w:pPr>
            <w:r>
              <w:rPr>
                <w:rFonts w:hint="eastAsia" w:ascii="宋体" w:hAnsi="宋体"/>
                <w:szCs w:val="21"/>
              </w:rPr>
              <w:t>6</w:t>
            </w:r>
          </w:p>
        </w:tc>
        <w:tc>
          <w:tcPr>
            <w:tcW w:w="1407" w:type="dxa"/>
            <w:vAlign w:val="center"/>
          </w:tcPr>
          <w:p>
            <w:pPr>
              <w:snapToGrid w:val="0"/>
              <w:ind w:right="102"/>
              <w:jc w:val="center"/>
              <w:rPr>
                <w:rFonts w:ascii="宋体" w:hAnsi="宋体"/>
                <w:szCs w:val="21"/>
              </w:rPr>
            </w:pPr>
            <w:r>
              <w:rPr>
                <w:rFonts w:hint="eastAsia" w:ascii="宋体" w:hAnsi="宋体"/>
                <w:szCs w:val="21"/>
              </w:rPr>
              <w:t>招标人</w:t>
            </w:r>
          </w:p>
        </w:tc>
        <w:tc>
          <w:tcPr>
            <w:tcW w:w="6815" w:type="dxa"/>
            <w:vAlign w:val="center"/>
          </w:tcPr>
          <w:p>
            <w:pPr>
              <w:rPr>
                <w:rFonts w:ascii="宋体" w:hAnsi="宋体"/>
                <w:szCs w:val="21"/>
              </w:rPr>
            </w:pPr>
            <w:r>
              <w:rPr>
                <w:rFonts w:hint="eastAsia" w:ascii="宋体" w:hAnsi="宋体"/>
                <w:szCs w:val="21"/>
              </w:rPr>
              <w:t>南京特殊教育师范学院                    联系人：陈老师、陆老师</w:t>
            </w:r>
          </w:p>
          <w:p>
            <w:pPr>
              <w:rPr>
                <w:rFonts w:ascii="宋体" w:hAnsi="宋体"/>
                <w:szCs w:val="21"/>
              </w:rPr>
            </w:pPr>
            <w:r>
              <w:rPr>
                <w:rFonts w:hint="eastAsia" w:ascii="宋体" w:hAnsi="宋体"/>
                <w:szCs w:val="21"/>
              </w:rPr>
              <w:t>地址：南京市栖霞区神农路1号            电话：</w:t>
            </w:r>
            <w:r>
              <w:rPr>
                <w:rFonts w:ascii="宋体" w:hAnsi="宋体"/>
                <w:szCs w:val="21"/>
              </w:rPr>
              <w:t>025-</w:t>
            </w:r>
            <w:r>
              <w:rPr>
                <w:rFonts w:hint="eastAsia" w:ascii="宋体" w:hAnsi="宋体"/>
                <w:szCs w:val="21"/>
              </w:rPr>
              <w:t>89668043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snapToGrid w:val="0"/>
              <w:jc w:val="center"/>
              <w:rPr>
                <w:rFonts w:ascii="宋体" w:hAnsi="宋体"/>
                <w:szCs w:val="21"/>
              </w:rPr>
            </w:pPr>
            <w:r>
              <w:rPr>
                <w:rFonts w:hint="eastAsia" w:ascii="宋体" w:hAnsi="宋体"/>
                <w:szCs w:val="21"/>
              </w:rPr>
              <w:t>7</w:t>
            </w:r>
          </w:p>
        </w:tc>
        <w:tc>
          <w:tcPr>
            <w:tcW w:w="1407" w:type="dxa"/>
            <w:vAlign w:val="center"/>
          </w:tcPr>
          <w:p>
            <w:pPr>
              <w:snapToGrid w:val="0"/>
              <w:jc w:val="center"/>
              <w:rPr>
                <w:rFonts w:ascii="宋体" w:hAnsi="宋体"/>
                <w:szCs w:val="21"/>
              </w:rPr>
            </w:pPr>
            <w:r>
              <w:rPr>
                <w:rFonts w:hint="eastAsia" w:ascii="宋体" w:hAnsi="宋体"/>
                <w:szCs w:val="21"/>
              </w:rPr>
              <w:t>采购预算</w:t>
            </w:r>
          </w:p>
        </w:tc>
        <w:tc>
          <w:tcPr>
            <w:tcW w:w="6815" w:type="dxa"/>
            <w:vAlign w:val="center"/>
          </w:tcPr>
          <w:p>
            <w:pPr>
              <w:snapToGrid w:val="0"/>
              <w:rPr>
                <w:rFonts w:ascii="宋体" w:hAnsi="宋体"/>
                <w:szCs w:val="21"/>
              </w:rPr>
            </w:pPr>
            <w:r>
              <w:rPr>
                <w:rFonts w:hint="eastAsia" w:ascii="宋体" w:hAnsi="宋体"/>
                <w:szCs w:val="21"/>
              </w:rPr>
              <w:t>人民币：壹拾叁万元（￥130000）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75" w:type="dxa"/>
            <w:vAlign w:val="center"/>
          </w:tcPr>
          <w:p>
            <w:pPr>
              <w:snapToGrid w:val="0"/>
              <w:jc w:val="center"/>
              <w:rPr>
                <w:rFonts w:ascii="宋体" w:hAnsi="宋体"/>
                <w:szCs w:val="21"/>
              </w:rPr>
            </w:pPr>
            <w:r>
              <w:rPr>
                <w:rFonts w:hint="eastAsia" w:ascii="宋体" w:hAnsi="宋体"/>
                <w:szCs w:val="21"/>
              </w:rPr>
              <w:t>8</w:t>
            </w:r>
          </w:p>
        </w:tc>
        <w:tc>
          <w:tcPr>
            <w:tcW w:w="1407" w:type="dxa"/>
            <w:vAlign w:val="center"/>
          </w:tcPr>
          <w:p>
            <w:pPr>
              <w:snapToGrid w:val="0"/>
              <w:jc w:val="center"/>
              <w:rPr>
                <w:rFonts w:ascii="宋体" w:hAnsi="宋体"/>
                <w:szCs w:val="21"/>
              </w:rPr>
            </w:pPr>
            <w:r>
              <w:rPr>
                <w:rFonts w:hint="eastAsia" w:ascii="宋体" w:hAnsi="宋体"/>
                <w:szCs w:val="21"/>
              </w:rPr>
              <w:t>投标（响应）</w:t>
            </w:r>
          </w:p>
          <w:p>
            <w:pPr>
              <w:snapToGrid w:val="0"/>
              <w:jc w:val="center"/>
              <w:rPr>
                <w:rFonts w:ascii="宋体" w:hAnsi="宋体"/>
                <w:szCs w:val="21"/>
              </w:rPr>
            </w:pPr>
            <w:r>
              <w:rPr>
                <w:rFonts w:hint="eastAsia" w:ascii="宋体" w:hAnsi="宋体"/>
                <w:szCs w:val="21"/>
              </w:rPr>
              <w:t>保证金</w:t>
            </w:r>
          </w:p>
        </w:tc>
        <w:tc>
          <w:tcPr>
            <w:tcW w:w="6815" w:type="dxa"/>
            <w:vAlign w:val="center"/>
          </w:tcPr>
          <w:p>
            <w:pPr>
              <w:snapToGrid w:val="0"/>
              <w:rPr>
                <w:rFonts w:ascii="宋体" w:hAnsi="宋体"/>
                <w:szCs w:val="21"/>
              </w:rPr>
            </w:pPr>
            <w:r>
              <w:rPr>
                <w:rFonts w:hint="eastAsia" w:ascii="宋体" w:hAnsi="宋体"/>
                <w:szCs w:val="21"/>
              </w:rPr>
              <w:t>金额：人民币</w:t>
            </w:r>
            <w:r>
              <w:rPr>
                <w:rFonts w:hint="eastAsia" w:ascii="宋体" w:hAnsi="宋体"/>
                <w:szCs w:val="21"/>
                <w:u w:val="single"/>
              </w:rPr>
              <w:t xml:space="preserve"> 贰仟陆佰</w:t>
            </w:r>
            <w:r>
              <w:rPr>
                <w:rFonts w:hint="eastAsia" w:ascii="宋体" w:hAnsi="宋体"/>
                <w:b/>
                <w:szCs w:val="21"/>
                <w:u w:val="single"/>
              </w:rPr>
              <w:t xml:space="preserve"> </w:t>
            </w:r>
            <w:r>
              <w:rPr>
                <w:rFonts w:hint="eastAsia" w:ascii="宋体" w:hAnsi="宋体"/>
                <w:szCs w:val="21"/>
                <w:u w:val="single"/>
              </w:rPr>
              <w:t>元整</w:t>
            </w:r>
          </w:p>
          <w:p>
            <w:pPr>
              <w:snapToGrid w:val="0"/>
              <w:rPr>
                <w:rFonts w:ascii="宋体" w:hAnsi="宋体"/>
                <w:szCs w:val="21"/>
              </w:rPr>
            </w:pPr>
            <w:r>
              <w:rPr>
                <w:rFonts w:hint="eastAsia" w:ascii="宋体" w:hAnsi="宋体"/>
                <w:szCs w:val="21"/>
              </w:rPr>
              <w:t>投标（响应）保证金的交纳形式为通过</w:t>
            </w:r>
            <w:r>
              <w:rPr>
                <w:rFonts w:hint="eastAsia" w:ascii="楷体" w:hAnsi="楷体" w:eastAsia="楷体"/>
                <w:b/>
                <w:szCs w:val="21"/>
              </w:rPr>
              <w:t>网上银行转账或银行电汇</w:t>
            </w:r>
            <w:r>
              <w:rPr>
                <w:rFonts w:hint="eastAsia" w:ascii="宋体" w:hAnsi="宋体"/>
                <w:szCs w:val="21"/>
              </w:rPr>
              <w:t>（招标人不接受现金、转账支票等其他形式的保证金）。投标（响应）保证金须在2021年</w:t>
            </w:r>
            <w:r>
              <w:rPr>
                <w:rFonts w:ascii="宋体" w:hAnsi="宋体"/>
                <w:szCs w:val="21"/>
              </w:rPr>
              <w:t>12</w:t>
            </w:r>
            <w:r>
              <w:rPr>
                <w:rFonts w:hint="eastAsia" w:ascii="宋体" w:hAnsi="宋体"/>
                <w:szCs w:val="21"/>
              </w:rPr>
              <w:t xml:space="preserve">月 </w:t>
            </w:r>
            <w:r>
              <w:rPr>
                <w:rFonts w:ascii="宋体" w:hAnsi="宋体"/>
                <w:szCs w:val="21"/>
              </w:rPr>
              <w:t>23日</w:t>
            </w:r>
            <w:r>
              <w:rPr>
                <w:rFonts w:hint="eastAsia" w:ascii="宋体" w:hAnsi="宋体"/>
                <w:szCs w:val="21"/>
              </w:rPr>
              <w:t>（含）前缴纳至指定账户，请在附言中注明“采购编号”及汇款用途。（</w:t>
            </w:r>
            <w:r>
              <w:rPr>
                <w:rFonts w:hint="eastAsia" w:ascii="宋体" w:hAnsi="宋体"/>
                <w:b/>
                <w:bCs/>
                <w:szCs w:val="21"/>
              </w:rPr>
              <w:t>详见招标人开户行信息</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5" w:type="dxa"/>
            <w:vAlign w:val="center"/>
          </w:tcPr>
          <w:p>
            <w:pPr>
              <w:snapToGrid w:val="0"/>
              <w:jc w:val="center"/>
              <w:rPr>
                <w:rFonts w:ascii="宋体" w:hAnsi="宋体"/>
                <w:szCs w:val="21"/>
              </w:rPr>
            </w:pPr>
            <w:r>
              <w:rPr>
                <w:rFonts w:hint="eastAsia" w:ascii="宋体" w:hAnsi="宋体"/>
                <w:szCs w:val="21"/>
              </w:rPr>
              <w:t>9</w:t>
            </w:r>
          </w:p>
        </w:tc>
        <w:tc>
          <w:tcPr>
            <w:tcW w:w="1407" w:type="dxa"/>
            <w:vAlign w:val="center"/>
          </w:tcPr>
          <w:p>
            <w:pPr>
              <w:snapToGrid w:val="0"/>
              <w:jc w:val="center"/>
              <w:rPr>
                <w:rFonts w:ascii="宋体" w:hAnsi="宋体"/>
                <w:szCs w:val="21"/>
              </w:rPr>
            </w:pPr>
            <w:r>
              <w:rPr>
                <w:rFonts w:hint="eastAsia" w:ascii="宋体" w:hAnsi="宋体"/>
                <w:szCs w:val="21"/>
              </w:rPr>
              <w:t>招标文件</w:t>
            </w:r>
          </w:p>
          <w:p>
            <w:pPr>
              <w:snapToGrid w:val="0"/>
              <w:jc w:val="center"/>
              <w:rPr>
                <w:rFonts w:ascii="宋体" w:hAnsi="宋体"/>
                <w:szCs w:val="21"/>
              </w:rPr>
            </w:pPr>
            <w:r>
              <w:rPr>
                <w:rFonts w:hint="eastAsia" w:ascii="宋体" w:hAnsi="宋体"/>
                <w:szCs w:val="21"/>
              </w:rPr>
              <w:t>获取</w:t>
            </w:r>
          </w:p>
        </w:tc>
        <w:tc>
          <w:tcPr>
            <w:tcW w:w="6815" w:type="dxa"/>
            <w:vAlign w:val="center"/>
          </w:tcPr>
          <w:p>
            <w:pPr>
              <w:snapToGrid w:val="0"/>
              <w:rPr>
                <w:rFonts w:ascii="宋体" w:hAnsi="宋体"/>
                <w:szCs w:val="21"/>
              </w:rPr>
            </w:pPr>
            <w:r>
              <w:rPr>
                <w:rFonts w:hint="eastAsia" w:ascii="宋体" w:hAnsi="宋体"/>
                <w:szCs w:val="21"/>
              </w:rPr>
              <w:t>招标公告南京特殊教育师范学院国资处网站http://gzc.njts.edu.cn/</w:t>
            </w:r>
          </w:p>
          <w:p>
            <w:pPr>
              <w:snapToGrid w:val="0"/>
              <w:rPr>
                <w:rFonts w:ascii="宋体" w:hAnsi="宋体"/>
                <w:szCs w:val="21"/>
              </w:rPr>
            </w:pPr>
            <w:r>
              <w:rPr>
                <w:rFonts w:hint="eastAsia" w:ascii="宋体" w:hAnsi="宋体"/>
                <w:szCs w:val="21"/>
              </w:rPr>
              <w:t>发布，供应商如确定参加投标，须在招标公告规定的时间内向招标人购买采购文件，否则投标无效。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75" w:type="dxa"/>
            <w:vAlign w:val="center"/>
          </w:tcPr>
          <w:p>
            <w:pPr>
              <w:snapToGrid w:val="0"/>
              <w:jc w:val="center"/>
              <w:rPr>
                <w:rFonts w:ascii="宋体" w:hAnsi="宋体"/>
                <w:szCs w:val="21"/>
              </w:rPr>
            </w:pPr>
            <w:r>
              <w:rPr>
                <w:rFonts w:hint="eastAsia" w:ascii="宋体" w:hAnsi="宋体"/>
                <w:szCs w:val="21"/>
              </w:rPr>
              <w:t>10</w:t>
            </w:r>
          </w:p>
        </w:tc>
        <w:tc>
          <w:tcPr>
            <w:tcW w:w="1407" w:type="dxa"/>
            <w:vAlign w:val="center"/>
          </w:tcPr>
          <w:p>
            <w:pPr>
              <w:jc w:val="center"/>
              <w:rPr>
                <w:rFonts w:ascii="宋体" w:hAnsi="宋体"/>
                <w:szCs w:val="21"/>
              </w:rPr>
            </w:pPr>
            <w:r>
              <w:rPr>
                <w:rFonts w:hint="eastAsia" w:ascii="宋体" w:hAnsi="宋体"/>
                <w:szCs w:val="21"/>
              </w:rPr>
              <w:t>现场勘察及答疑会</w:t>
            </w:r>
          </w:p>
        </w:tc>
        <w:tc>
          <w:tcPr>
            <w:tcW w:w="6815" w:type="dxa"/>
            <w:vAlign w:val="center"/>
          </w:tcPr>
          <w:p>
            <w:pPr>
              <w:snapToGrid w:val="0"/>
              <w:rPr>
                <w:rFonts w:ascii="宋体" w:hAnsi="宋体"/>
                <w:szCs w:val="21"/>
              </w:rPr>
            </w:pPr>
            <w:r>
              <w:rPr>
                <w:rFonts w:hint="eastAsia" w:ascii="宋体" w:hAnsi="宋体"/>
                <w:szCs w:val="21"/>
              </w:rPr>
              <w:t>本项目因疫情控制的要求，不组织集中勘察和答疑。</w:t>
            </w:r>
          </w:p>
          <w:p>
            <w:pPr>
              <w:snapToGrid w:val="0"/>
              <w:rPr>
                <w:rFonts w:ascii="宋体" w:hAnsi="宋体"/>
                <w:szCs w:val="21"/>
              </w:rPr>
            </w:pPr>
            <w:r>
              <w:rPr>
                <w:rFonts w:hint="eastAsia" w:ascii="宋体" w:hAnsi="宋体"/>
                <w:szCs w:val="21"/>
              </w:rPr>
              <w:t xml:space="preserve">对项目需求部分的询问、质疑，请向采购人提出，并由采购人负责答复   </w:t>
            </w:r>
          </w:p>
          <w:p>
            <w:pPr>
              <w:snapToGrid w:val="0"/>
              <w:rPr>
                <w:rFonts w:ascii="宋体" w:hAnsi="宋体"/>
                <w:szCs w:val="21"/>
              </w:rPr>
            </w:pPr>
            <w:r>
              <w:rPr>
                <w:rFonts w:hint="eastAsia" w:ascii="宋体" w:hAnsi="宋体"/>
                <w:szCs w:val="21"/>
              </w:rPr>
              <w:t>联系人及联系电话：薛老师 18936932220</w:t>
            </w:r>
          </w:p>
          <w:p>
            <w:pPr>
              <w:snapToGrid w:val="0"/>
              <w:rPr>
                <w:rFonts w:ascii="宋体" w:hAnsi="宋体"/>
                <w:szCs w:val="21"/>
              </w:rPr>
            </w:pPr>
            <w:r>
              <w:rPr>
                <w:rFonts w:hint="eastAsia" w:ascii="宋体" w:hAnsi="宋体"/>
                <w:szCs w:val="21"/>
              </w:rPr>
              <w:t>请各潜在投标人自行前往考察现场，请务必对项目现场和周围环境进行仔细认真地查勘，在随后的采购中，对现场资料和数据所作出的推论、解释和结论及由此造成的后果由供应商负责（未现场勘察和未提出疑义的投标人将被视为已勘察，认同招标项目要求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75" w:type="dxa"/>
            <w:vAlign w:val="center"/>
          </w:tcPr>
          <w:p>
            <w:pPr>
              <w:snapToGrid w:val="0"/>
              <w:jc w:val="center"/>
              <w:rPr>
                <w:rFonts w:ascii="宋体" w:hAnsi="宋体"/>
                <w:szCs w:val="21"/>
              </w:rPr>
            </w:pPr>
            <w:r>
              <w:rPr>
                <w:rFonts w:hint="eastAsia" w:ascii="宋体" w:hAnsi="宋体"/>
                <w:szCs w:val="21"/>
              </w:rPr>
              <w:t>11</w:t>
            </w:r>
          </w:p>
        </w:tc>
        <w:tc>
          <w:tcPr>
            <w:tcW w:w="1407" w:type="dxa"/>
            <w:vAlign w:val="center"/>
          </w:tcPr>
          <w:p>
            <w:pPr>
              <w:snapToGrid w:val="0"/>
              <w:jc w:val="center"/>
              <w:rPr>
                <w:rFonts w:ascii="宋体" w:hAnsi="宋体"/>
                <w:szCs w:val="21"/>
              </w:rPr>
            </w:pPr>
            <w:r>
              <w:rPr>
                <w:rFonts w:hint="eastAsia" w:ascii="宋体" w:hAnsi="宋体"/>
                <w:szCs w:val="21"/>
              </w:rPr>
              <w:t>投标文件</w:t>
            </w:r>
          </w:p>
          <w:p>
            <w:pPr>
              <w:snapToGrid w:val="0"/>
              <w:jc w:val="center"/>
              <w:rPr>
                <w:rFonts w:ascii="宋体" w:hAnsi="宋体"/>
                <w:szCs w:val="21"/>
              </w:rPr>
            </w:pPr>
            <w:r>
              <w:rPr>
                <w:rFonts w:hint="eastAsia" w:ascii="宋体" w:hAnsi="宋体"/>
                <w:szCs w:val="21"/>
              </w:rPr>
              <w:t>递交</w:t>
            </w:r>
          </w:p>
        </w:tc>
        <w:tc>
          <w:tcPr>
            <w:tcW w:w="6815" w:type="dxa"/>
            <w:vAlign w:val="center"/>
          </w:tcPr>
          <w:p>
            <w:pPr>
              <w:pStyle w:val="34"/>
              <w:widowControl w:val="0"/>
              <w:spacing w:before="0" w:beforeAutospacing="0" w:after="0" w:afterAutospacing="0" w:line="360" w:lineRule="auto"/>
              <w:jc w:val="both"/>
              <w:rPr>
                <w:rFonts w:cs="Times New Roman"/>
                <w:kern w:val="2"/>
                <w:sz w:val="21"/>
                <w:szCs w:val="21"/>
              </w:rPr>
            </w:pPr>
            <w:r>
              <w:rPr>
                <w:rFonts w:hint="eastAsia" w:cs="Times New Roman"/>
                <w:kern w:val="2"/>
                <w:sz w:val="21"/>
                <w:szCs w:val="21"/>
              </w:rPr>
              <w:t>接收时间：2021年</w:t>
            </w:r>
            <w:r>
              <w:rPr>
                <w:rFonts w:cs="Times New Roman"/>
                <w:kern w:val="2"/>
                <w:sz w:val="21"/>
                <w:szCs w:val="21"/>
              </w:rPr>
              <w:t>12</w:t>
            </w:r>
            <w:r>
              <w:rPr>
                <w:rFonts w:hint="eastAsia" w:cs="Times New Roman"/>
                <w:kern w:val="2"/>
                <w:sz w:val="21"/>
                <w:szCs w:val="21"/>
              </w:rPr>
              <w:t>月</w:t>
            </w:r>
            <w:r>
              <w:rPr>
                <w:rFonts w:cs="Times New Roman"/>
                <w:kern w:val="2"/>
                <w:sz w:val="21"/>
                <w:szCs w:val="21"/>
              </w:rPr>
              <w:t>21</w:t>
            </w:r>
            <w:r>
              <w:rPr>
                <w:rFonts w:hint="eastAsia" w:cs="Times New Roman"/>
                <w:kern w:val="2"/>
                <w:sz w:val="21"/>
                <w:szCs w:val="21"/>
              </w:rPr>
              <w:t>日至2021年</w:t>
            </w:r>
            <w:r>
              <w:rPr>
                <w:rFonts w:cs="Times New Roman"/>
                <w:kern w:val="2"/>
                <w:sz w:val="21"/>
                <w:szCs w:val="21"/>
              </w:rPr>
              <w:t>12</w:t>
            </w:r>
            <w:r>
              <w:rPr>
                <w:rFonts w:hint="eastAsia" w:cs="Times New Roman"/>
                <w:kern w:val="2"/>
                <w:sz w:val="21"/>
                <w:szCs w:val="21"/>
              </w:rPr>
              <w:t>月</w:t>
            </w:r>
            <w:r>
              <w:rPr>
                <w:rFonts w:cs="Times New Roman"/>
                <w:kern w:val="2"/>
                <w:sz w:val="21"/>
                <w:szCs w:val="21"/>
              </w:rPr>
              <w:t>27</w:t>
            </w:r>
            <w:r>
              <w:rPr>
                <w:rFonts w:hint="eastAsia" w:cs="Times New Roman"/>
                <w:kern w:val="2"/>
                <w:sz w:val="21"/>
                <w:szCs w:val="21"/>
              </w:rPr>
              <w:t>日，每天上午09时00分至11时30分、下午14时00分至17时00分（北京时间，法定节假日除外）</w:t>
            </w:r>
          </w:p>
          <w:p>
            <w:pPr>
              <w:rPr>
                <w:rFonts w:ascii="宋体" w:hAnsi="宋体"/>
                <w:szCs w:val="21"/>
              </w:rPr>
            </w:pPr>
            <w:r>
              <w:rPr>
                <w:rFonts w:hint="eastAsia" w:ascii="宋体" w:hAnsi="宋体"/>
                <w:szCs w:val="21"/>
              </w:rPr>
              <w:t>截止时间：2021年</w:t>
            </w:r>
            <w:r>
              <w:rPr>
                <w:rFonts w:ascii="宋体" w:hAnsi="宋体"/>
                <w:szCs w:val="21"/>
              </w:rPr>
              <w:t>12</w:t>
            </w:r>
            <w:r>
              <w:rPr>
                <w:rFonts w:hint="eastAsia" w:ascii="宋体" w:hAnsi="宋体"/>
                <w:szCs w:val="21"/>
              </w:rPr>
              <w:t>月</w:t>
            </w:r>
            <w:r>
              <w:rPr>
                <w:rFonts w:ascii="宋体" w:hAnsi="宋体"/>
                <w:szCs w:val="21"/>
              </w:rPr>
              <w:t>27</w:t>
            </w:r>
            <w:r>
              <w:rPr>
                <w:rFonts w:hint="eastAsia" w:ascii="宋体" w:hAnsi="宋体"/>
                <w:szCs w:val="21"/>
              </w:rPr>
              <w:t>日</w:t>
            </w:r>
            <w:r>
              <w:rPr>
                <w:rFonts w:ascii="宋体" w:hAnsi="宋体"/>
                <w:szCs w:val="21"/>
              </w:rPr>
              <w:t>9</w:t>
            </w:r>
            <w:r>
              <w:rPr>
                <w:rFonts w:hint="eastAsia" w:ascii="宋体" w:hAnsi="宋体"/>
                <w:szCs w:val="21"/>
              </w:rPr>
              <w:t>:</w:t>
            </w:r>
            <w:r>
              <w:rPr>
                <w:rFonts w:ascii="宋体" w:hAnsi="宋体"/>
                <w:szCs w:val="21"/>
              </w:rPr>
              <w:t>15</w:t>
            </w:r>
          </w:p>
          <w:p>
            <w:pPr>
              <w:rPr>
                <w:rFonts w:ascii="宋体" w:hAnsi="宋体"/>
                <w:szCs w:val="21"/>
              </w:rPr>
            </w:pPr>
            <w:r>
              <w:rPr>
                <w:rFonts w:hint="eastAsia" w:ascii="宋体" w:hAnsi="宋体"/>
                <w:szCs w:val="21"/>
              </w:rPr>
              <w:t>接收地点：南京市神农路1号南京特殊教育师范学院办公楼国资处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5" w:type="dxa"/>
            <w:vAlign w:val="center"/>
          </w:tcPr>
          <w:p>
            <w:pPr>
              <w:snapToGrid w:val="0"/>
              <w:jc w:val="center"/>
              <w:rPr>
                <w:rFonts w:ascii="宋体" w:hAnsi="宋体"/>
                <w:szCs w:val="21"/>
              </w:rPr>
            </w:pPr>
            <w:r>
              <w:rPr>
                <w:rFonts w:hint="eastAsia" w:ascii="宋体" w:hAnsi="宋体"/>
                <w:szCs w:val="21"/>
              </w:rPr>
              <w:t>12</w:t>
            </w:r>
          </w:p>
        </w:tc>
        <w:tc>
          <w:tcPr>
            <w:tcW w:w="1407" w:type="dxa"/>
            <w:vAlign w:val="center"/>
          </w:tcPr>
          <w:p>
            <w:pPr>
              <w:snapToGrid w:val="0"/>
              <w:jc w:val="center"/>
              <w:rPr>
                <w:rFonts w:ascii="宋体" w:hAnsi="宋体"/>
                <w:szCs w:val="21"/>
              </w:rPr>
            </w:pPr>
            <w:r>
              <w:rPr>
                <w:rFonts w:hint="eastAsia" w:ascii="宋体" w:hAnsi="宋体"/>
                <w:szCs w:val="21"/>
              </w:rPr>
              <w:t>投标文件</w:t>
            </w:r>
          </w:p>
          <w:p>
            <w:pPr>
              <w:snapToGrid w:val="0"/>
              <w:jc w:val="center"/>
              <w:rPr>
                <w:rFonts w:ascii="宋体" w:hAnsi="宋体"/>
                <w:szCs w:val="21"/>
              </w:rPr>
            </w:pPr>
            <w:r>
              <w:rPr>
                <w:rFonts w:hint="eastAsia" w:ascii="宋体" w:hAnsi="宋体"/>
                <w:szCs w:val="21"/>
              </w:rPr>
              <w:t>数量</w:t>
            </w:r>
          </w:p>
        </w:tc>
        <w:tc>
          <w:tcPr>
            <w:tcW w:w="6815" w:type="dxa"/>
            <w:vAlign w:val="center"/>
          </w:tcPr>
          <w:p>
            <w:pPr>
              <w:snapToGrid w:val="0"/>
              <w:rPr>
                <w:rFonts w:ascii="宋体" w:hAnsi="宋体"/>
                <w:szCs w:val="21"/>
              </w:rPr>
            </w:pPr>
            <w:r>
              <w:rPr>
                <w:rFonts w:hint="eastAsia" w:ascii="宋体" w:hAnsi="宋体"/>
                <w:szCs w:val="21"/>
              </w:rPr>
              <w:t>正本份数：1份；副本份数：4份</w:t>
            </w:r>
          </w:p>
          <w:p>
            <w:pPr>
              <w:rPr>
                <w:rFonts w:ascii="宋体" w:hAnsi="宋体"/>
                <w:szCs w:val="21"/>
              </w:rPr>
            </w:pPr>
            <w:r>
              <w:rPr>
                <w:rFonts w:hint="eastAsia" w:ascii="宋体" w:hAnsi="宋体"/>
                <w:szCs w:val="21"/>
              </w:rPr>
              <w:t>电子档文件(word)：1份</w:t>
            </w:r>
            <w:r>
              <w:rPr>
                <w:rFonts w:hint="eastAsia" w:ascii="宋体" w:hAnsi="宋体"/>
                <w:b/>
                <w:szCs w:val="21"/>
              </w:rPr>
              <w:t>（U盘形式单独封装，上面需贴上带有公司名称的标签，</w:t>
            </w:r>
            <w:r>
              <w:rPr>
                <w:rFonts w:hint="eastAsia" w:ascii="宋体" w:hAnsi="宋体"/>
                <w:szCs w:val="21"/>
              </w:rPr>
              <w:t>随投标文件一并递交，递交的电子版文件应为投标文件正本，PDF鲜章扫描版，包含纸质投标文件全部内容）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vAlign w:val="center"/>
          </w:tcPr>
          <w:p>
            <w:pPr>
              <w:snapToGrid w:val="0"/>
              <w:jc w:val="center"/>
              <w:rPr>
                <w:rFonts w:ascii="宋体" w:hAnsi="宋体"/>
                <w:szCs w:val="21"/>
              </w:rPr>
            </w:pPr>
            <w:r>
              <w:rPr>
                <w:rFonts w:hint="eastAsia" w:ascii="宋体" w:hAnsi="宋体"/>
                <w:szCs w:val="21"/>
              </w:rPr>
              <w:t>13</w:t>
            </w:r>
          </w:p>
        </w:tc>
        <w:tc>
          <w:tcPr>
            <w:tcW w:w="1407" w:type="dxa"/>
            <w:vAlign w:val="center"/>
          </w:tcPr>
          <w:p>
            <w:pPr>
              <w:snapToGrid w:val="0"/>
              <w:jc w:val="center"/>
              <w:rPr>
                <w:rFonts w:ascii="宋体" w:hAnsi="宋体"/>
                <w:szCs w:val="21"/>
              </w:rPr>
            </w:pPr>
            <w:r>
              <w:rPr>
                <w:rFonts w:hint="eastAsia" w:ascii="宋体" w:hAnsi="宋体"/>
                <w:szCs w:val="21"/>
              </w:rPr>
              <w:t>开标</w:t>
            </w:r>
          </w:p>
        </w:tc>
        <w:tc>
          <w:tcPr>
            <w:tcW w:w="6815" w:type="dxa"/>
            <w:vAlign w:val="center"/>
          </w:tcPr>
          <w:p>
            <w:pPr>
              <w:snapToGrid w:val="0"/>
              <w:rPr>
                <w:rFonts w:ascii="宋体" w:hAnsi="宋体"/>
                <w:szCs w:val="21"/>
              </w:rPr>
            </w:pPr>
            <w:r>
              <w:rPr>
                <w:rFonts w:hint="eastAsia" w:ascii="宋体" w:hAnsi="宋体"/>
                <w:szCs w:val="21"/>
              </w:rPr>
              <w:t>开标时间：2021</w:t>
            </w:r>
            <w:r>
              <w:rPr>
                <w:rFonts w:ascii="宋体" w:hAnsi="宋体"/>
                <w:szCs w:val="21"/>
              </w:rPr>
              <w:t>年12月24日9</w:t>
            </w:r>
            <w:r>
              <w:rPr>
                <w:rFonts w:hint="eastAsia" w:ascii="宋体" w:hAnsi="宋体"/>
                <w:szCs w:val="21"/>
              </w:rPr>
              <w:t>:30后</w:t>
            </w:r>
          </w:p>
          <w:p>
            <w:pPr>
              <w:snapToGrid w:val="0"/>
              <w:rPr>
                <w:rFonts w:ascii="宋体" w:hAnsi="宋体"/>
                <w:szCs w:val="21"/>
              </w:rPr>
            </w:pPr>
            <w:r>
              <w:rPr>
                <w:rFonts w:hint="eastAsia" w:ascii="宋体" w:hAnsi="宋体"/>
                <w:szCs w:val="21"/>
              </w:rPr>
              <w:t>开标地点：南京市神农路1号南京特殊教育师范学院办公楼国资处会议室</w:t>
            </w:r>
          </w:p>
        </w:tc>
      </w:tr>
    </w:tbl>
    <w:p>
      <w:pPr>
        <w:rPr>
          <w:vanish/>
        </w:rPr>
      </w:pPr>
    </w:p>
    <w:tbl>
      <w:tblPr>
        <w:tblStyle w:val="38"/>
        <w:tblpPr w:leftFromText="180" w:rightFromText="180" w:vertAnchor="text" w:horzAnchor="page" w:tblpX="1785" w:tblpY="41"/>
        <w:tblOverlap w:val="never"/>
        <w:tblW w:w="8897" w:type="dxa"/>
        <w:tblInd w:w="0" w:type="dxa"/>
        <w:tblLayout w:type="fixed"/>
        <w:tblCellMar>
          <w:top w:w="0" w:type="dxa"/>
          <w:left w:w="108" w:type="dxa"/>
          <w:bottom w:w="0" w:type="dxa"/>
          <w:right w:w="108" w:type="dxa"/>
        </w:tblCellMar>
      </w:tblPr>
      <w:tblGrid>
        <w:gridCol w:w="670"/>
        <w:gridCol w:w="1440"/>
        <w:gridCol w:w="6787"/>
      </w:tblGrid>
      <w:tr>
        <w:tblPrEx>
          <w:tblCellMar>
            <w:top w:w="0" w:type="dxa"/>
            <w:left w:w="108" w:type="dxa"/>
            <w:bottom w:w="0" w:type="dxa"/>
            <w:right w:w="108" w:type="dxa"/>
          </w:tblCellMar>
        </w:tblPrEx>
        <w:tc>
          <w:tcPr>
            <w:tcW w:w="6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u w:val="single"/>
              </w:rPr>
            </w:pPr>
            <w:r>
              <w:rPr>
                <w:rFonts w:hint="eastAsia"/>
              </w:rPr>
              <w:t>14</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u w:val="single"/>
              </w:rPr>
            </w:pPr>
            <w:r>
              <w:rPr>
                <w:rFonts w:hint="eastAsia"/>
                <w:u w:val="single"/>
              </w:rPr>
              <w:t>报价须知</w:t>
            </w:r>
          </w:p>
        </w:tc>
        <w:tc>
          <w:tcPr>
            <w:tcW w:w="6787" w:type="dxa"/>
            <w:tcBorders>
              <w:top w:val="single" w:color="auto" w:sz="4" w:space="0"/>
              <w:left w:val="single" w:color="auto" w:sz="4" w:space="0"/>
              <w:bottom w:val="single" w:color="auto" w:sz="4" w:space="0"/>
              <w:right w:val="single" w:color="auto" w:sz="4" w:space="0"/>
            </w:tcBorders>
            <w:vAlign w:val="center"/>
          </w:tcPr>
          <w:p>
            <w:pPr>
              <w:pStyle w:val="14"/>
              <w:topLinePunct/>
              <w:spacing w:line="360" w:lineRule="auto"/>
              <w:rPr>
                <w:rFonts w:ascii="Times New Roman"/>
                <w:sz w:val="21"/>
                <w:szCs w:val="21"/>
                <w:u w:val="single"/>
              </w:rPr>
            </w:pPr>
            <w:r>
              <w:rPr>
                <w:rFonts w:hint="eastAsia" w:ascii="Times New Roman"/>
                <w:sz w:val="21"/>
                <w:szCs w:val="21"/>
                <w:u w:val="single"/>
              </w:rPr>
              <w:t>1、投标人应仔细勘察现场，熟悉了解一切可能影响施工、投标报价的因素，且投标人应对自行获得的资料、信息的正确性负全部责任；</w:t>
            </w:r>
          </w:p>
          <w:p>
            <w:pPr>
              <w:pStyle w:val="14"/>
              <w:topLinePunct/>
              <w:spacing w:line="360" w:lineRule="auto"/>
              <w:rPr>
                <w:rFonts w:ascii="Times New Roman"/>
                <w:sz w:val="21"/>
                <w:szCs w:val="21"/>
                <w:u w:val="single"/>
              </w:rPr>
            </w:pPr>
            <w:r>
              <w:rPr>
                <w:rFonts w:hint="eastAsia" w:ascii="Times New Roman"/>
                <w:sz w:val="21"/>
                <w:szCs w:val="21"/>
                <w:u w:val="single"/>
              </w:rPr>
              <w:t>2、投标人自行办理施工许可证及市区通行证，发生的费用自理；</w:t>
            </w:r>
          </w:p>
          <w:p>
            <w:pPr>
              <w:pStyle w:val="14"/>
              <w:topLinePunct/>
              <w:spacing w:line="360" w:lineRule="auto"/>
              <w:rPr>
                <w:rFonts w:ascii="Times New Roman"/>
                <w:sz w:val="21"/>
                <w:szCs w:val="21"/>
                <w:u w:val="single"/>
              </w:rPr>
            </w:pPr>
            <w:r>
              <w:rPr>
                <w:rFonts w:hint="eastAsia" w:ascii="Times New Roman"/>
                <w:sz w:val="21"/>
                <w:szCs w:val="21"/>
                <w:u w:val="single"/>
              </w:rPr>
              <w:t>3、由于为学校项目，为避免噪音影响，届时可能会有间断施工，工作时间严格控制在8:00-11:30、14:00-18:00，投标人必须按招标人要求在规定的时间及地点进行施工，请各投标单位充分考虑由此带来的人工及机械降效费用，人员窝工损失等相关费用，并计入本次投标报价，一旦投标人中标，中标人不得以不完全了解施工现场情况及要求为由，而提出额外的赔偿、补偿、增加费用和延长工期等要求；</w:t>
            </w:r>
          </w:p>
          <w:p>
            <w:pPr>
              <w:pStyle w:val="14"/>
              <w:topLinePunct/>
              <w:spacing w:line="360" w:lineRule="auto"/>
              <w:rPr>
                <w:rFonts w:ascii="Times New Roman"/>
                <w:sz w:val="21"/>
                <w:szCs w:val="21"/>
                <w:u w:val="single"/>
              </w:rPr>
            </w:pPr>
            <w:r>
              <w:rPr>
                <w:rFonts w:hint="eastAsia" w:ascii="Times New Roman"/>
                <w:sz w:val="21"/>
                <w:szCs w:val="21"/>
                <w:u w:val="single"/>
              </w:rPr>
              <w:t>4、投标报价应包括招标文件、图纸、工程量清单所确定的招标范围内的全部内容，以及为完成上述内容所必须的人工费、施工机械使用费、材料费、运杂费、缺陷修复费、保险费、临时设施、现场安全文明、环境保护、施工围挡、成品保护、移交前场地看护、施工环境及条件、材料二次倒运、运输通道（含已完公共区域）的成品保护费、各项材料检验费、利润、税金以及合同明示或暗示的风险、责任和义务等为完成本工程项目所涉及到的全部费用。</w:t>
            </w:r>
          </w:p>
          <w:p>
            <w:pPr>
              <w:pStyle w:val="14"/>
              <w:topLinePunct/>
              <w:spacing w:line="360" w:lineRule="auto"/>
              <w:rPr>
                <w:rFonts w:ascii="Times New Roman"/>
                <w:sz w:val="21"/>
                <w:szCs w:val="21"/>
                <w:u w:val="single"/>
              </w:rPr>
            </w:pPr>
            <w:r>
              <w:rPr>
                <w:rFonts w:hint="eastAsia" w:ascii="Times New Roman"/>
                <w:sz w:val="21"/>
                <w:szCs w:val="21"/>
                <w:u w:val="single"/>
              </w:rPr>
              <w:t xml:space="preserve">5、本工程量清单，是根据相关规范、现场勘察情况、工程经验等，为保证工程量清单完整性而编制，部分子项在本项目实施过程中可能不会发生，招标人有权对未发生的子项进行删减或工程量增减，承包人不得以此要求调价，更不得以该子项利润率高等任何理由要求发包人对此进行索赔或费用补偿。 </w:t>
            </w:r>
          </w:p>
          <w:p>
            <w:pPr>
              <w:pStyle w:val="14"/>
              <w:topLinePunct/>
              <w:spacing w:line="360" w:lineRule="auto"/>
              <w:rPr>
                <w:rFonts w:ascii="Times New Roman"/>
                <w:sz w:val="21"/>
                <w:szCs w:val="21"/>
                <w:u w:val="single"/>
              </w:rPr>
            </w:pPr>
            <w:r>
              <w:rPr>
                <w:rFonts w:hint="eastAsia" w:ascii="Times New Roman"/>
                <w:sz w:val="21"/>
                <w:szCs w:val="21"/>
                <w:u w:val="single"/>
              </w:rPr>
              <w:t>6、本工程采用固定单价合同。</w:t>
            </w:r>
          </w:p>
          <w:p>
            <w:pPr>
              <w:pStyle w:val="14"/>
              <w:topLinePunct/>
              <w:spacing w:line="360" w:lineRule="auto"/>
              <w:rPr>
                <w:rFonts w:ascii="Times New Roman"/>
                <w:sz w:val="21"/>
                <w:szCs w:val="21"/>
                <w:u w:val="single"/>
              </w:rPr>
            </w:pPr>
            <w:r>
              <w:rPr>
                <w:rFonts w:hint="eastAsia" w:ascii="Times New Roman"/>
                <w:sz w:val="21"/>
                <w:szCs w:val="21"/>
                <w:u w:val="single"/>
              </w:rPr>
              <w:t>7、招标人并不保证所提供的资料全面而准确地反映工程的实际状况，投标人必须对项目特点和施工现场作出自己的判断和推测，并对自己的判断和推测负责，由此产生的风险费用由承包人纳入到投标报价中，结算时不予调整。</w:t>
            </w:r>
          </w:p>
          <w:p>
            <w:pPr>
              <w:pStyle w:val="14"/>
              <w:topLinePunct/>
              <w:spacing w:line="360" w:lineRule="auto"/>
              <w:rPr>
                <w:rFonts w:ascii="Times New Roman"/>
                <w:sz w:val="21"/>
                <w:szCs w:val="21"/>
                <w:u w:val="single"/>
              </w:rPr>
            </w:pPr>
            <w:r>
              <w:rPr>
                <w:rFonts w:hint="eastAsia" w:ascii="Times New Roman"/>
                <w:sz w:val="21"/>
                <w:szCs w:val="21"/>
                <w:u w:val="single"/>
              </w:rPr>
              <w:t>8、投标人应充分了解本项目的实际情况，投标人在投标报价中应充分考虑施工人员的管理、临时卫生设施、工地临时的排污措施、所有为实体施工而建设的临时建筑物和构筑物等的拆除、建筑垃圾的外运等一切非实体项目的临时设施费用，施工过程中不得提出任何的附加条件及增加相关费用。</w:t>
            </w:r>
          </w:p>
          <w:p>
            <w:pPr>
              <w:pStyle w:val="14"/>
              <w:topLinePunct/>
              <w:spacing w:line="360" w:lineRule="auto"/>
              <w:rPr>
                <w:rFonts w:ascii="Times New Roman"/>
                <w:sz w:val="21"/>
                <w:szCs w:val="21"/>
                <w:u w:val="single"/>
              </w:rPr>
            </w:pPr>
            <w:r>
              <w:rPr>
                <w:rFonts w:hint="eastAsia" w:ascii="Times New Roman"/>
                <w:sz w:val="21"/>
                <w:szCs w:val="21"/>
                <w:u w:val="single"/>
              </w:rPr>
              <w:t xml:space="preserve"> 9、投标人要考虑施工过程中的安全风险，由于自身原因发生的安全事故不仅要承担本次事故的所有处理费用，还应当承担招标人全部的损失费。</w:t>
            </w:r>
          </w:p>
          <w:p>
            <w:pPr>
              <w:pStyle w:val="14"/>
              <w:topLinePunct/>
              <w:spacing w:line="360" w:lineRule="auto"/>
              <w:rPr>
                <w:rFonts w:ascii="Times New Roman"/>
                <w:sz w:val="21"/>
                <w:szCs w:val="21"/>
                <w:u w:val="single"/>
              </w:rPr>
            </w:pPr>
            <w:r>
              <w:rPr>
                <w:rFonts w:hint="eastAsia" w:ascii="Times New Roman"/>
                <w:sz w:val="21"/>
                <w:szCs w:val="21"/>
                <w:u w:val="single"/>
              </w:rPr>
              <w:t>10、投标人要考虑施工过程中的质量风险，由于自身原因发生的质量事故不仅要承担本次事故的所有处理费用，还应当承担招标人全部的损失费。</w:t>
            </w:r>
          </w:p>
          <w:p>
            <w:pPr>
              <w:pStyle w:val="14"/>
              <w:topLinePunct/>
              <w:spacing w:line="360" w:lineRule="auto"/>
              <w:rPr>
                <w:rFonts w:ascii="Times New Roman"/>
                <w:sz w:val="21"/>
                <w:szCs w:val="21"/>
                <w:u w:val="single"/>
              </w:rPr>
            </w:pPr>
            <w:r>
              <w:rPr>
                <w:rFonts w:hint="eastAsia" w:ascii="Times New Roman"/>
                <w:sz w:val="21"/>
                <w:szCs w:val="21"/>
                <w:u w:val="single"/>
              </w:rPr>
              <w:t>11、招标人保留根据工程实际情况及设计变更增减工程量的权利，投标人不得要求调价和费用补偿。</w:t>
            </w:r>
          </w:p>
          <w:p>
            <w:pPr>
              <w:pStyle w:val="14"/>
              <w:topLinePunct/>
              <w:spacing w:line="360" w:lineRule="auto"/>
              <w:rPr>
                <w:rFonts w:ascii="Times New Roman"/>
                <w:sz w:val="21"/>
                <w:szCs w:val="21"/>
                <w:u w:val="single"/>
              </w:rPr>
            </w:pPr>
            <w:r>
              <w:rPr>
                <w:rFonts w:hint="eastAsia" w:ascii="Times New Roman"/>
                <w:sz w:val="21"/>
                <w:szCs w:val="21"/>
                <w:u w:val="single"/>
              </w:rPr>
              <w:t>12、南京特殊教育师范学院燕子矶校区树木修剪，对修剪树木两年内出现的枯枝险情、萌芽等进行修剪维护工作。</w:t>
            </w:r>
          </w:p>
          <w:p>
            <w:pPr>
              <w:pStyle w:val="14"/>
              <w:topLinePunct/>
              <w:spacing w:line="360" w:lineRule="auto"/>
              <w:rPr>
                <w:rFonts w:ascii="Times New Roman"/>
                <w:sz w:val="21"/>
                <w:szCs w:val="21"/>
                <w:u w:val="single"/>
              </w:rPr>
            </w:pPr>
            <w:r>
              <w:rPr>
                <w:rFonts w:hint="eastAsia" w:ascii="Times New Roman"/>
                <w:sz w:val="21"/>
                <w:szCs w:val="21"/>
                <w:u w:val="single"/>
              </w:rPr>
              <w:t>13、本次修剪树木均为高龄树木，树体较高，对其杂乱萌枝条、病虫枝、丛生枝、下垂枝、枯枝、死枝进行修剪，保持良好的树形树冠，对草坪上方遮光严重的枝干及触碰到建筑的枝干进行修剪。须对修剪切面做保护处理，并保证不能影响树木的正常生长，保持良好的树冠树形。对杨树和构树进行申报砍伐，并对树根进行清除。</w:t>
            </w:r>
          </w:p>
          <w:p>
            <w:pPr>
              <w:pStyle w:val="14"/>
              <w:topLinePunct/>
              <w:spacing w:line="360" w:lineRule="auto"/>
              <w:rPr>
                <w:rFonts w:ascii="Times New Roman"/>
                <w:sz w:val="21"/>
                <w:szCs w:val="21"/>
                <w:u w:val="single"/>
              </w:rPr>
            </w:pPr>
            <w:r>
              <w:rPr>
                <w:rFonts w:hint="eastAsia" w:ascii="Times New Roman"/>
                <w:sz w:val="21"/>
                <w:szCs w:val="21"/>
                <w:u w:val="single"/>
              </w:rPr>
              <w:t>14、植物在修剪过程中造成了树木死亡或者损伤严重，按招标方指定位置补植相同规格、品种树木并负责二年的养护，养护时间自树木补植后开始计算。</w:t>
            </w:r>
          </w:p>
          <w:p>
            <w:pPr>
              <w:pStyle w:val="14"/>
              <w:topLinePunct/>
              <w:spacing w:line="360" w:lineRule="auto"/>
              <w:rPr>
                <w:rFonts w:ascii="Times New Roman"/>
                <w:sz w:val="21"/>
                <w:szCs w:val="21"/>
                <w:u w:val="single"/>
              </w:rPr>
            </w:pPr>
            <w:r>
              <w:rPr>
                <w:rFonts w:hint="eastAsia" w:ascii="Times New Roman"/>
                <w:sz w:val="21"/>
                <w:szCs w:val="21"/>
                <w:u w:val="single"/>
              </w:rPr>
              <w:t>15、竣工验收要求一次通过，如初验不合格，中标人应无条件返工，费用自理。中标人应对修剪树木两年内出现的枯枝险情、萌芽等进行修剪维护。</w:t>
            </w:r>
          </w:p>
        </w:tc>
      </w:tr>
    </w:tbl>
    <w:p/>
    <w:p>
      <w:pPr>
        <w:spacing w:line="360" w:lineRule="auto"/>
      </w:pPr>
      <w:r>
        <w:br w:type="page"/>
      </w:r>
      <w:r>
        <w:rPr>
          <w:rFonts w:hint="eastAsia"/>
          <w:b/>
          <w:bCs/>
          <w:sz w:val="28"/>
        </w:rPr>
        <w:t>投标人须知前附表附录</w:t>
      </w:r>
    </w:p>
    <w:p>
      <w:pPr>
        <w:numPr>
          <w:ilvl w:val="0"/>
          <w:numId w:val="1"/>
        </w:numPr>
        <w:spacing w:line="360" w:lineRule="auto"/>
      </w:pPr>
      <w:r>
        <w:rPr>
          <w:rFonts w:hint="eastAsia"/>
        </w:rPr>
        <w:t>最高投标限价（招标控制价）</w:t>
      </w:r>
    </w:p>
    <w:p>
      <w:pPr>
        <w:spacing w:line="360" w:lineRule="auto"/>
        <w:ind w:firstLine="420" w:firstLineChars="200"/>
      </w:pPr>
      <w:r>
        <w:rPr>
          <w:rFonts w:hint="eastAsia"/>
        </w:rPr>
        <w:t>最高投标限价（招标控制价）指招标人根据国家或省级、行业建设主管部门颁发的有关计价依据和办法，按照方案计算的，对招标项目限定的最高造价。</w:t>
      </w:r>
    </w:p>
    <w:p>
      <w:pPr>
        <w:spacing w:line="360" w:lineRule="auto"/>
        <w:ind w:firstLine="420" w:firstLineChars="200"/>
      </w:pPr>
      <w:r>
        <w:rPr>
          <w:rFonts w:hint="eastAsia"/>
        </w:rPr>
        <w:t>最高投标限价（招标控制价）及修改澄清应在投标截止前15天公布并发放给投标人。</w:t>
      </w:r>
    </w:p>
    <w:p>
      <w:pPr>
        <w:spacing w:line="360" w:lineRule="auto"/>
      </w:pPr>
      <w:r>
        <w:rPr>
          <w:rFonts w:hint="eastAsia"/>
        </w:rPr>
        <w:t>二、投标保证金</w:t>
      </w:r>
    </w:p>
    <w:p>
      <w:pPr>
        <w:spacing w:line="360" w:lineRule="auto"/>
        <w:ind w:firstLine="420"/>
        <w:jc w:val="left"/>
        <w:rPr>
          <w:rFonts w:hAnsi="宋体"/>
          <w:kern w:val="0"/>
        </w:rPr>
      </w:pPr>
      <w:r>
        <w:rPr>
          <w:rFonts w:hint="eastAsia" w:hAnsi="宋体"/>
          <w:kern w:val="0"/>
        </w:rPr>
        <w:t>投标保证金应从投标人基本账户以非现金方式缴纳。投标人应充分考虑投标保证金在途时间，确保投标保证金在投标截止时间前到达投标人须知前附表规定帐户。投标人应将招标人出具的投标保证金收据的电子图片随投标文件递交。转账信息如下：</w:t>
      </w:r>
    </w:p>
    <w:p>
      <w:pPr>
        <w:spacing w:line="360" w:lineRule="auto"/>
        <w:ind w:firstLine="420"/>
        <w:jc w:val="left"/>
        <w:rPr>
          <w:rFonts w:hAnsi="宋体"/>
          <w:kern w:val="0"/>
        </w:rPr>
      </w:pPr>
      <w:r>
        <w:rPr>
          <w:rFonts w:hAnsi="宋体"/>
          <w:kern w:val="0"/>
        </w:rPr>
        <w:t>户名(收款人)：南京特殊教育师范学院</w:t>
      </w:r>
    </w:p>
    <w:p>
      <w:pPr>
        <w:spacing w:line="360" w:lineRule="auto"/>
        <w:ind w:firstLine="420"/>
        <w:jc w:val="left"/>
        <w:rPr>
          <w:rFonts w:hAnsi="宋体"/>
          <w:kern w:val="0"/>
        </w:rPr>
      </w:pPr>
      <w:r>
        <w:rPr>
          <w:rFonts w:hAnsi="宋体"/>
          <w:kern w:val="0"/>
        </w:rPr>
        <w:t>账号：4301012319002130850</w:t>
      </w:r>
    </w:p>
    <w:p>
      <w:pPr>
        <w:spacing w:line="360" w:lineRule="auto"/>
        <w:ind w:firstLine="420"/>
        <w:jc w:val="left"/>
        <w:rPr>
          <w:rFonts w:hAnsi="宋体"/>
          <w:kern w:val="0"/>
        </w:rPr>
      </w:pPr>
      <w:r>
        <w:rPr>
          <w:rFonts w:hAnsi="宋体"/>
          <w:kern w:val="0"/>
        </w:rPr>
        <w:t>开户银行：中国工商银行南京燕子矶支行</w:t>
      </w:r>
    </w:p>
    <w:p>
      <w:pPr>
        <w:spacing w:line="360" w:lineRule="auto"/>
      </w:pPr>
      <w:r>
        <w:rPr>
          <w:rFonts w:hint="eastAsia"/>
        </w:rPr>
        <w:t>三、承诺书</w:t>
      </w:r>
    </w:p>
    <w:p>
      <w:pPr>
        <w:spacing w:line="360" w:lineRule="auto"/>
        <w:ind w:firstLine="420"/>
      </w:pPr>
      <w:r>
        <w:rPr>
          <w:rFonts w:hint="eastAsia"/>
        </w:rPr>
        <w:t>招标人要求的投标人随投标文件递交的各类承诺书，应在招标文件“第七章 投标文件格式”中提供该承诺书的格式。投标人应依照招标文件提供的格式编制承诺书。</w:t>
      </w:r>
    </w:p>
    <w:p>
      <w:pPr>
        <w:spacing w:line="360" w:lineRule="auto"/>
      </w:pPr>
      <w:bookmarkStart w:id="13" w:name="合理低价4"/>
      <w:r>
        <w:rPr>
          <w:rFonts w:hint="eastAsia"/>
        </w:rPr>
        <w:t>四、多项目同一项目负责人拟中标的处理</w:t>
      </w:r>
    </w:p>
    <w:p>
      <w:pPr>
        <w:spacing w:line="360" w:lineRule="auto"/>
      </w:pPr>
      <w:r>
        <w:rPr>
          <w:rFonts w:hint="eastAsia"/>
        </w:rPr>
        <w:t xml:space="preserve">    企业应当慎重考虑选派一名项目负责人同时参加多个工程项目投标竞争的数量。其所选派的项目负责人在多个项目均为拟中标人的，企业经招标人同意可放弃某项目中标， 但应当依法承担相应法律责任；未放弃的，按照不同项目中标人公告时间先后，担任本企业最先中标项目的项目负责人。后确定该企业为中标人的项目的招标人应当取消其中标资格。</w:t>
      </w:r>
    </w:p>
    <w:bookmarkEnd w:id="13"/>
    <w:p>
      <w:pPr>
        <w:sectPr>
          <w:footerReference r:id="rId3" w:type="default"/>
          <w:pgSz w:w="11906" w:h="16838"/>
          <w:pgMar w:top="1440" w:right="1800" w:bottom="1440" w:left="1800" w:header="851" w:footer="992" w:gutter="0"/>
          <w:pgNumType w:start="1"/>
          <w:cols w:space="720" w:num="1"/>
          <w:rtlGutter w:val="1"/>
          <w:docGrid w:type="lines" w:linePitch="312" w:charSpace="0"/>
        </w:sectPr>
      </w:pPr>
    </w:p>
    <w:p>
      <w:pPr>
        <w:pStyle w:val="95"/>
      </w:pPr>
      <w:bookmarkStart w:id="14" w:name="_Toc152042305"/>
      <w:bookmarkStart w:id="15" w:name="_Toc227984001"/>
      <w:bookmarkStart w:id="16" w:name="_Toc269886739"/>
      <w:bookmarkStart w:id="17" w:name="_Toc144974497"/>
      <w:bookmarkStart w:id="18" w:name="_Toc499821504"/>
      <w:bookmarkStart w:id="19" w:name="_Toc499830047"/>
      <w:bookmarkStart w:id="20" w:name="_Toc152045529"/>
      <w:r>
        <w:rPr>
          <w:rFonts w:hint="eastAsia"/>
        </w:rPr>
        <w:t>1. 总则</w:t>
      </w:r>
      <w:bookmarkEnd w:id="14"/>
      <w:bookmarkEnd w:id="15"/>
      <w:bookmarkEnd w:id="16"/>
      <w:bookmarkEnd w:id="17"/>
      <w:bookmarkEnd w:id="18"/>
      <w:bookmarkEnd w:id="19"/>
      <w:bookmarkEnd w:id="20"/>
    </w:p>
    <w:p>
      <w:pPr>
        <w:pStyle w:val="105"/>
      </w:pPr>
      <w:bookmarkStart w:id="21" w:name="_Toc152045530"/>
      <w:bookmarkStart w:id="22" w:name="_Toc499821505"/>
      <w:bookmarkStart w:id="23" w:name="_Toc227984002"/>
      <w:bookmarkStart w:id="24" w:name="_Toc269886740"/>
      <w:bookmarkStart w:id="25" w:name="_Toc152042306"/>
      <w:bookmarkStart w:id="26" w:name="_Toc144974498"/>
      <w:bookmarkStart w:id="27" w:name="_Toc499830048"/>
      <w:r>
        <w:rPr>
          <w:rFonts w:hint="eastAsia"/>
        </w:rPr>
        <w:t>1.1 项目概况</w:t>
      </w:r>
      <w:bookmarkEnd w:id="21"/>
      <w:bookmarkEnd w:id="22"/>
      <w:bookmarkEnd w:id="23"/>
      <w:bookmarkEnd w:id="24"/>
      <w:bookmarkEnd w:id="25"/>
      <w:bookmarkEnd w:id="26"/>
      <w:bookmarkEnd w:id="27"/>
    </w:p>
    <w:p>
      <w:pPr>
        <w:spacing w:line="400" w:lineRule="exact"/>
        <w:ind w:firstLine="420" w:firstLineChars="200"/>
      </w:pPr>
      <w:r>
        <w:rPr>
          <w:rFonts w:hint="eastAsia"/>
        </w:rPr>
        <w:t>1.1.1根据《中华人民共和国招标投标法》等有关法律、法规和规章的规定，本招标项目已具备招标条件，现对本标段施工进行招标。</w:t>
      </w:r>
    </w:p>
    <w:p>
      <w:pPr>
        <w:spacing w:line="400" w:lineRule="exact"/>
        <w:ind w:firstLine="420" w:firstLineChars="200"/>
      </w:pPr>
      <w:r>
        <w:rPr>
          <w:rFonts w:hint="eastAsia"/>
        </w:rPr>
        <w:t>1.1.2 本招标项目招标人：见投标人须知前附表。</w:t>
      </w:r>
    </w:p>
    <w:p>
      <w:pPr>
        <w:spacing w:line="400" w:lineRule="exact"/>
        <w:ind w:firstLine="420" w:firstLineChars="200"/>
      </w:pPr>
      <w:r>
        <w:rPr>
          <w:rFonts w:hint="eastAsia"/>
        </w:rPr>
        <w:t>1.1.3 本招标项目名称：见投标人须知前附表。</w:t>
      </w:r>
    </w:p>
    <w:p>
      <w:pPr>
        <w:spacing w:line="400" w:lineRule="exact"/>
        <w:ind w:firstLine="420" w:firstLineChars="200"/>
      </w:pPr>
      <w:r>
        <w:rPr>
          <w:rFonts w:hint="eastAsia"/>
        </w:rPr>
        <w:t>1.1.4 本标段建设地点：见投标人须知前附表。</w:t>
      </w:r>
    </w:p>
    <w:p>
      <w:pPr>
        <w:pStyle w:val="105"/>
      </w:pPr>
      <w:bookmarkStart w:id="28" w:name="_Toc269886741"/>
      <w:bookmarkStart w:id="29" w:name="_Toc227984003"/>
      <w:bookmarkStart w:id="30" w:name="_Toc152042307"/>
      <w:bookmarkStart w:id="31" w:name="_Toc499821506"/>
      <w:bookmarkStart w:id="32" w:name="_Toc144974499"/>
      <w:bookmarkStart w:id="33" w:name="_Toc152045531"/>
      <w:bookmarkStart w:id="34" w:name="_Toc499830049"/>
      <w:r>
        <w:rPr>
          <w:rFonts w:hint="eastAsia"/>
        </w:rPr>
        <w:t>1.2 资金来源和落实情况</w:t>
      </w:r>
      <w:bookmarkEnd w:id="28"/>
      <w:bookmarkEnd w:id="29"/>
      <w:bookmarkEnd w:id="30"/>
      <w:bookmarkEnd w:id="31"/>
      <w:bookmarkEnd w:id="32"/>
      <w:bookmarkEnd w:id="33"/>
      <w:bookmarkEnd w:id="34"/>
    </w:p>
    <w:p>
      <w:pPr>
        <w:spacing w:line="400" w:lineRule="exact"/>
        <w:ind w:firstLine="420" w:firstLineChars="200"/>
      </w:pPr>
      <w:r>
        <w:rPr>
          <w:rFonts w:hint="eastAsia"/>
        </w:rPr>
        <w:t>1.2.1 本招标项目的资金来源：见投标人须知前附表。</w:t>
      </w:r>
    </w:p>
    <w:p>
      <w:pPr>
        <w:spacing w:line="400" w:lineRule="exact"/>
        <w:ind w:firstLine="420" w:firstLineChars="200"/>
      </w:pPr>
      <w:r>
        <w:rPr>
          <w:rFonts w:hint="eastAsia"/>
        </w:rPr>
        <w:t>1.2.2 本招标项目的出资比例：见投标人须知前附表。</w:t>
      </w:r>
    </w:p>
    <w:p>
      <w:pPr>
        <w:spacing w:line="400" w:lineRule="exact"/>
        <w:ind w:firstLine="420" w:firstLineChars="200"/>
      </w:pPr>
      <w:r>
        <w:rPr>
          <w:rFonts w:hint="eastAsia"/>
        </w:rPr>
        <w:t>1.2.3 本招标项目的资金落实情况：见投标人须知前附表。</w:t>
      </w:r>
    </w:p>
    <w:p>
      <w:pPr>
        <w:pStyle w:val="105"/>
      </w:pPr>
      <w:bookmarkStart w:id="35" w:name="_Toc152045532"/>
      <w:bookmarkStart w:id="36" w:name="_Toc227984004"/>
      <w:bookmarkStart w:id="37" w:name="_Toc269886742"/>
      <w:bookmarkStart w:id="38" w:name="_Toc152042308"/>
      <w:bookmarkStart w:id="39" w:name="_Toc144974500"/>
      <w:bookmarkStart w:id="40" w:name="_Toc499830050"/>
      <w:bookmarkStart w:id="41" w:name="_Toc499821507"/>
      <w:r>
        <w:rPr>
          <w:rFonts w:hint="eastAsia"/>
        </w:rPr>
        <w:t>1.3 招标范围、计划工期和质量要求</w:t>
      </w:r>
      <w:bookmarkEnd w:id="35"/>
      <w:bookmarkEnd w:id="36"/>
      <w:bookmarkEnd w:id="37"/>
      <w:bookmarkEnd w:id="38"/>
      <w:bookmarkEnd w:id="39"/>
      <w:bookmarkEnd w:id="40"/>
      <w:bookmarkEnd w:id="41"/>
    </w:p>
    <w:p>
      <w:pPr>
        <w:spacing w:line="400" w:lineRule="exact"/>
        <w:ind w:firstLine="420" w:firstLineChars="200"/>
      </w:pPr>
      <w:r>
        <w:rPr>
          <w:rFonts w:hint="eastAsia"/>
        </w:rPr>
        <w:t>1.3.1 本次招标范围：见投标人须知前附表。</w:t>
      </w:r>
    </w:p>
    <w:p>
      <w:pPr>
        <w:spacing w:line="400" w:lineRule="exact"/>
        <w:ind w:firstLine="420" w:firstLineChars="200"/>
      </w:pPr>
      <w:r>
        <w:rPr>
          <w:rFonts w:hint="eastAsia"/>
        </w:rPr>
        <w:t>1.3.2 本标段的计划工期：见投标人须知前附表。</w:t>
      </w:r>
    </w:p>
    <w:p>
      <w:pPr>
        <w:spacing w:line="400" w:lineRule="exact"/>
        <w:ind w:firstLine="420" w:firstLineChars="200"/>
      </w:pPr>
      <w:r>
        <w:rPr>
          <w:rFonts w:hint="eastAsia"/>
        </w:rPr>
        <w:t>1.3.3 本标段的质量要求：见投标人须知前附表。</w:t>
      </w:r>
    </w:p>
    <w:p>
      <w:pPr>
        <w:pStyle w:val="105"/>
      </w:pPr>
      <w:bookmarkStart w:id="42" w:name="_Toc227984005"/>
      <w:bookmarkStart w:id="43" w:name="_Toc499821508"/>
      <w:bookmarkStart w:id="44" w:name="_Toc499830051"/>
      <w:bookmarkStart w:id="45" w:name="_Toc144974501"/>
      <w:bookmarkStart w:id="46" w:name="_Toc269886743"/>
      <w:bookmarkStart w:id="47" w:name="_Toc152045533"/>
      <w:bookmarkStart w:id="48" w:name="_Toc152042309"/>
      <w:r>
        <w:rPr>
          <w:rFonts w:hint="eastAsia"/>
        </w:rPr>
        <w:t>1.4 投标人资格要求</w:t>
      </w:r>
      <w:bookmarkEnd w:id="42"/>
      <w:bookmarkEnd w:id="43"/>
      <w:bookmarkEnd w:id="44"/>
      <w:bookmarkEnd w:id="45"/>
      <w:bookmarkEnd w:id="46"/>
      <w:bookmarkEnd w:id="47"/>
      <w:bookmarkEnd w:id="48"/>
    </w:p>
    <w:p>
      <w:pPr>
        <w:pStyle w:val="14"/>
        <w:spacing w:line="400" w:lineRule="exact"/>
        <w:ind w:firstLine="315" w:firstLineChars="150"/>
        <w:rPr>
          <w:sz w:val="21"/>
          <w:szCs w:val="21"/>
        </w:rPr>
      </w:pPr>
      <w:bookmarkStart w:id="49" w:name="资格后审3"/>
      <w:r>
        <w:rPr>
          <w:rFonts w:hint="eastAsia"/>
          <w:sz w:val="21"/>
          <w:szCs w:val="21"/>
        </w:rPr>
        <w:t>1.4.1投标人应具备承担本标段施工的资质条件、能力和信誉。</w:t>
      </w:r>
    </w:p>
    <w:p>
      <w:pPr>
        <w:pStyle w:val="14"/>
        <w:spacing w:line="400" w:lineRule="exact"/>
        <w:ind w:firstLine="735" w:firstLineChars="350"/>
        <w:rPr>
          <w:sz w:val="21"/>
          <w:szCs w:val="21"/>
        </w:rPr>
      </w:pPr>
      <w:r>
        <w:rPr>
          <w:rFonts w:hint="eastAsia"/>
          <w:sz w:val="21"/>
          <w:szCs w:val="21"/>
        </w:rPr>
        <w:t>（1）资质条件：见投标人须知前附表；</w:t>
      </w:r>
    </w:p>
    <w:p>
      <w:pPr>
        <w:pStyle w:val="14"/>
        <w:spacing w:line="400" w:lineRule="exact"/>
        <w:ind w:firstLine="735" w:firstLineChars="350"/>
        <w:rPr>
          <w:sz w:val="21"/>
          <w:szCs w:val="21"/>
        </w:rPr>
      </w:pPr>
      <w:r>
        <w:rPr>
          <w:rFonts w:hint="eastAsia"/>
          <w:sz w:val="21"/>
          <w:szCs w:val="21"/>
        </w:rPr>
        <w:t>（2）项目负责人资格：见投标人须知前附表；</w:t>
      </w:r>
    </w:p>
    <w:p>
      <w:pPr>
        <w:pStyle w:val="14"/>
        <w:spacing w:line="400" w:lineRule="exact"/>
        <w:ind w:firstLine="735" w:firstLineChars="350"/>
        <w:rPr>
          <w:sz w:val="21"/>
          <w:szCs w:val="21"/>
        </w:rPr>
      </w:pPr>
      <w:r>
        <w:rPr>
          <w:rFonts w:hint="eastAsia"/>
          <w:sz w:val="21"/>
          <w:szCs w:val="21"/>
        </w:rPr>
        <w:t>（3）业绩要求：见投标人须知前附表；</w:t>
      </w:r>
    </w:p>
    <w:p>
      <w:pPr>
        <w:pStyle w:val="14"/>
        <w:spacing w:line="400" w:lineRule="exact"/>
        <w:ind w:firstLine="735" w:firstLineChars="350"/>
        <w:rPr>
          <w:sz w:val="21"/>
          <w:szCs w:val="21"/>
        </w:rPr>
      </w:pPr>
      <w:r>
        <w:rPr>
          <w:rFonts w:hint="eastAsia"/>
          <w:sz w:val="21"/>
          <w:szCs w:val="21"/>
        </w:rPr>
        <w:t xml:space="preserve">（4）符合法律、法规规定的其他条件：见投标人须知前附表； </w:t>
      </w:r>
    </w:p>
    <w:p>
      <w:pPr>
        <w:spacing w:line="400" w:lineRule="exact"/>
        <w:ind w:firstLine="315" w:firstLineChars="150"/>
      </w:pPr>
      <w:r>
        <w:rPr>
          <w:rFonts w:hint="eastAsia"/>
        </w:rPr>
        <w:t>1.4.2投标人必须满足以下资格审查必要条件：</w:t>
      </w:r>
    </w:p>
    <w:p>
      <w:pPr>
        <w:spacing w:line="400" w:lineRule="exact"/>
        <w:ind w:left="420" w:leftChars="200" w:firstLine="315" w:firstLineChars="150"/>
      </w:pPr>
      <w:r>
        <w:rPr>
          <w:rFonts w:hint="eastAsia"/>
        </w:rPr>
        <w:t xml:space="preserve">（一）具有独立订立合同的能力；  </w:t>
      </w:r>
    </w:p>
    <w:p>
      <w:pPr>
        <w:spacing w:line="400" w:lineRule="exact"/>
        <w:ind w:left="420" w:leftChars="200" w:firstLine="315" w:firstLineChars="150"/>
      </w:pPr>
      <w:r>
        <w:rPr>
          <w:rFonts w:hint="eastAsia"/>
        </w:rPr>
        <w:t xml:space="preserve">（二）未处于被责令停业、投标资格被取消或者财产被接管、冻结和破产状态；  </w:t>
      </w:r>
    </w:p>
    <w:p>
      <w:pPr>
        <w:spacing w:line="400" w:lineRule="exact"/>
        <w:ind w:left="420" w:leftChars="200" w:firstLine="315" w:firstLineChars="150"/>
      </w:pPr>
      <w:r>
        <w:rPr>
          <w:rFonts w:hint="eastAsia"/>
        </w:rPr>
        <w:t>（三）企业没有因骗取中标或者严重违约以及发生重大工程质量、安全生产事故等违法违规问题，被有关部门暂停投标资格并在暂停期内的；</w:t>
      </w:r>
    </w:p>
    <w:p>
      <w:pPr>
        <w:spacing w:line="400" w:lineRule="exact"/>
        <w:ind w:left="420" w:leftChars="200" w:firstLine="315" w:firstLineChars="150"/>
      </w:pPr>
      <w:r>
        <w:rPr>
          <w:rFonts w:hint="eastAsia"/>
        </w:rPr>
        <w:t xml:space="preserve">（四）企业的资质类别、等级和项目负责人注册专业、资格等级符合国家有关规定； </w:t>
      </w:r>
    </w:p>
    <w:p>
      <w:pPr>
        <w:spacing w:line="400" w:lineRule="exact"/>
        <w:ind w:left="420" w:leftChars="200" w:firstLine="315" w:firstLineChars="150"/>
      </w:pPr>
      <w:r>
        <w:rPr>
          <w:rFonts w:hint="eastAsia"/>
        </w:rPr>
        <w:t xml:space="preserve">（五）企业具备安全生产条件，并取得安全生产许可证（相关规定不作要求的除外）； </w:t>
      </w:r>
    </w:p>
    <w:p>
      <w:pPr>
        <w:spacing w:line="400" w:lineRule="exact"/>
        <w:ind w:left="420" w:leftChars="200" w:firstLine="315"/>
      </w:pPr>
      <w:r>
        <w:rPr>
          <w:rFonts w:hint="eastAsia"/>
        </w:rPr>
        <w:t>（六）符合法律、法规规定的其他条件。</w:t>
      </w:r>
    </w:p>
    <w:p>
      <w:pPr>
        <w:spacing w:line="400" w:lineRule="exact"/>
        <w:ind w:firstLine="315" w:firstLineChars="150"/>
      </w:pPr>
      <w:r>
        <w:rPr>
          <w:rFonts w:hint="eastAsia"/>
        </w:rPr>
        <w:t>1.4.3投标人不得存在下列情形之一：</w:t>
      </w:r>
    </w:p>
    <w:p>
      <w:pPr>
        <w:spacing w:line="400" w:lineRule="exact"/>
        <w:ind w:left="420" w:leftChars="200" w:firstLine="315" w:firstLineChars="150"/>
      </w:pPr>
      <w:r>
        <w:rPr>
          <w:rFonts w:hint="eastAsia"/>
        </w:rPr>
        <w:t>1、为招标人的附属机构（单位）；</w:t>
      </w:r>
    </w:p>
    <w:p>
      <w:pPr>
        <w:spacing w:line="400" w:lineRule="exact"/>
        <w:ind w:left="420" w:leftChars="200" w:firstLine="315" w:firstLineChars="150"/>
      </w:pPr>
      <w:r>
        <w:rPr>
          <w:rFonts w:hint="eastAsia"/>
        </w:rPr>
        <w:t>2、为本标段前期准备提供设计或咨询服务的，但设计施工总承包的除外；</w:t>
      </w:r>
    </w:p>
    <w:p>
      <w:pPr>
        <w:spacing w:line="400" w:lineRule="exact"/>
        <w:ind w:left="420" w:leftChars="200" w:firstLine="315" w:firstLineChars="150"/>
      </w:pPr>
      <w:r>
        <w:rPr>
          <w:rFonts w:hint="eastAsia"/>
        </w:rPr>
        <w:t>3、为本标段的监理人、代建人、项目管理人，或者为本标段提供招标代理服务的；</w:t>
      </w:r>
    </w:p>
    <w:p>
      <w:pPr>
        <w:spacing w:line="400" w:lineRule="exact"/>
        <w:ind w:left="420" w:leftChars="200" w:firstLine="315" w:firstLineChars="150"/>
      </w:pPr>
      <w:r>
        <w:rPr>
          <w:rFonts w:hint="eastAsia"/>
        </w:rPr>
        <w:t>4、与本标段的监理人或代建人或项目管理人或招标代理机构同为一个法定代表人的、相互控股或参股的、相互任职或工作的；</w:t>
      </w:r>
    </w:p>
    <w:p>
      <w:pPr>
        <w:spacing w:line="400" w:lineRule="exact"/>
        <w:ind w:firstLine="718" w:firstLineChars="342"/>
      </w:pPr>
      <w:r>
        <w:rPr>
          <w:rFonts w:hint="eastAsia"/>
        </w:rPr>
        <w:t>5、与招标人存在利害关系可能影响招标公正性的法人、其他组织或者个人的。</w:t>
      </w:r>
    </w:p>
    <w:bookmarkEnd w:id="49"/>
    <w:p>
      <w:pPr>
        <w:pStyle w:val="105"/>
      </w:pPr>
      <w:bookmarkStart w:id="50" w:name="_Toc152042311"/>
      <w:bookmarkStart w:id="51" w:name="_Toc152045535"/>
      <w:bookmarkStart w:id="52" w:name="_Toc499821509"/>
      <w:bookmarkStart w:id="53" w:name="_Toc499830052"/>
      <w:bookmarkStart w:id="54" w:name="_Toc227984006"/>
      <w:bookmarkStart w:id="55" w:name="_Toc269886744"/>
      <w:bookmarkStart w:id="56" w:name="_Toc144974503"/>
      <w:r>
        <w:rPr>
          <w:rFonts w:hint="eastAsia"/>
        </w:rPr>
        <w:t>1.5 费用承担</w:t>
      </w:r>
      <w:bookmarkEnd w:id="50"/>
      <w:bookmarkEnd w:id="51"/>
      <w:bookmarkEnd w:id="52"/>
      <w:bookmarkEnd w:id="53"/>
      <w:bookmarkEnd w:id="54"/>
      <w:bookmarkEnd w:id="55"/>
      <w:bookmarkEnd w:id="56"/>
    </w:p>
    <w:p>
      <w:pPr>
        <w:spacing w:line="400" w:lineRule="exact"/>
        <w:ind w:firstLine="420" w:firstLineChars="200"/>
      </w:pPr>
      <w:r>
        <w:rPr>
          <w:rFonts w:hint="eastAsia"/>
        </w:rPr>
        <w:t>投标人准备和参加投标活动发生的费用自理。</w:t>
      </w:r>
    </w:p>
    <w:p>
      <w:pPr>
        <w:pStyle w:val="105"/>
      </w:pPr>
      <w:bookmarkStart w:id="57" w:name="_Toc227984007"/>
      <w:bookmarkStart w:id="58" w:name="_Toc499821510"/>
      <w:bookmarkStart w:id="59" w:name="_Toc269886745"/>
      <w:bookmarkStart w:id="60" w:name="_Toc152042312"/>
      <w:bookmarkStart w:id="61" w:name="_Toc144974504"/>
      <w:bookmarkStart w:id="62" w:name="_Toc152045536"/>
      <w:bookmarkStart w:id="63" w:name="_Toc499830053"/>
      <w:r>
        <w:rPr>
          <w:rFonts w:hint="eastAsia"/>
        </w:rPr>
        <w:t>1.6 保密</w:t>
      </w:r>
      <w:bookmarkEnd w:id="57"/>
      <w:bookmarkEnd w:id="58"/>
      <w:bookmarkEnd w:id="59"/>
      <w:bookmarkEnd w:id="60"/>
      <w:bookmarkEnd w:id="61"/>
      <w:bookmarkEnd w:id="62"/>
      <w:bookmarkEnd w:id="63"/>
    </w:p>
    <w:p>
      <w:pPr>
        <w:spacing w:line="400" w:lineRule="exact"/>
        <w:ind w:firstLine="420" w:firstLineChars="200"/>
      </w:pPr>
      <w:r>
        <w:rPr>
          <w:rFonts w:hint="eastAsia"/>
        </w:rPr>
        <w:t xml:space="preserve">参与招标投标活动的各方应对招标文件和投标文件中的商业和技术等秘密保密，违者应对由此造成的后果承担法律责任。 </w:t>
      </w:r>
    </w:p>
    <w:p>
      <w:pPr>
        <w:pStyle w:val="105"/>
      </w:pPr>
      <w:bookmarkStart w:id="64" w:name="_Toc144974505"/>
      <w:bookmarkStart w:id="65" w:name="_Toc499821511"/>
      <w:bookmarkStart w:id="66" w:name="_Toc152045537"/>
      <w:bookmarkStart w:id="67" w:name="_Toc499830054"/>
      <w:bookmarkStart w:id="68" w:name="_Toc152042313"/>
      <w:bookmarkStart w:id="69" w:name="_Toc227984008"/>
      <w:bookmarkStart w:id="70" w:name="_Toc269886746"/>
      <w:r>
        <w:rPr>
          <w:rFonts w:hint="eastAsia"/>
        </w:rPr>
        <w:t>1.7 语言</w:t>
      </w:r>
      <w:bookmarkEnd w:id="64"/>
      <w:r>
        <w:rPr>
          <w:rFonts w:hint="eastAsia"/>
        </w:rPr>
        <w:t>文字</w:t>
      </w:r>
      <w:bookmarkEnd w:id="65"/>
      <w:bookmarkEnd w:id="66"/>
      <w:bookmarkEnd w:id="67"/>
      <w:bookmarkEnd w:id="68"/>
      <w:bookmarkEnd w:id="69"/>
      <w:bookmarkEnd w:id="70"/>
    </w:p>
    <w:p>
      <w:pPr>
        <w:spacing w:line="400" w:lineRule="exact"/>
        <w:ind w:firstLine="420" w:firstLineChars="200"/>
      </w:pPr>
      <w:r>
        <w:rPr>
          <w:rFonts w:hint="eastAsia"/>
        </w:rPr>
        <w:t>除专用术语外，与招标投标有关的语言均使用中文。必要时专用术语应附有中文注释。</w:t>
      </w:r>
    </w:p>
    <w:p>
      <w:pPr>
        <w:pStyle w:val="105"/>
      </w:pPr>
      <w:bookmarkStart w:id="71" w:name="_Toc152042314"/>
      <w:bookmarkStart w:id="72" w:name="_Toc269886747"/>
      <w:bookmarkStart w:id="73" w:name="_Toc227984009"/>
      <w:bookmarkStart w:id="74" w:name="_Toc499830055"/>
      <w:bookmarkStart w:id="75" w:name="_Toc499821512"/>
      <w:bookmarkStart w:id="76" w:name="_Toc144974506"/>
      <w:bookmarkStart w:id="77" w:name="_Toc152045538"/>
      <w:r>
        <w:rPr>
          <w:rFonts w:hint="eastAsia"/>
        </w:rPr>
        <w:t>1.8 计量单位</w:t>
      </w:r>
      <w:bookmarkEnd w:id="71"/>
      <w:bookmarkEnd w:id="72"/>
      <w:bookmarkEnd w:id="73"/>
      <w:bookmarkEnd w:id="74"/>
      <w:bookmarkEnd w:id="75"/>
      <w:bookmarkEnd w:id="76"/>
      <w:bookmarkEnd w:id="77"/>
    </w:p>
    <w:p>
      <w:pPr>
        <w:spacing w:line="400" w:lineRule="exact"/>
        <w:ind w:firstLine="420" w:firstLineChars="200"/>
      </w:pPr>
      <w:r>
        <w:rPr>
          <w:rFonts w:hint="eastAsia"/>
        </w:rPr>
        <w:t>所有计量均采用中华人民共和国法定计量单位。</w:t>
      </w:r>
    </w:p>
    <w:p>
      <w:pPr>
        <w:pStyle w:val="105"/>
      </w:pPr>
      <w:bookmarkStart w:id="78" w:name="_Toc152042315"/>
      <w:bookmarkStart w:id="79" w:name="_Toc179632556"/>
      <w:bookmarkStart w:id="80" w:name="_Toc499830056"/>
      <w:bookmarkStart w:id="81" w:name="_Toc499821513"/>
      <w:bookmarkStart w:id="82" w:name="_Toc227984010"/>
      <w:bookmarkStart w:id="83" w:name="_Toc269886748"/>
      <w:bookmarkStart w:id="84" w:name="_Toc144974507"/>
      <w:bookmarkStart w:id="85" w:name="_Toc152045539"/>
      <w:r>
        <w:rPr>
          <w:rFonts w:hint="eastAsia"/>
        </w:rPr>
        <w:t>1.9 踏勘现场</w:t>
      </w:r>
      <w:bookmarkEnd w:id="78"/>
      <w:bookmarkEnd w:id="79"/>
      <w:bookmarkEnd w:id="80"/>
      <w:bookmarkEnd w:id="81"/>
      <w:bookmarkEnd w:id="82"/>
      <w:bookmarkEnd w:id="83"/>
      <w:bookmarkEnd w:id="84"/>
      <w:bookmarkEnd w:id="85"/>
    </w:p>
    <w:p>
      <w:pPr>
        <w:spacing w:line="400" w:lineRule="exact"/>
        <w:ind w:firstLine="420" w:firstLineChars="200"/>
      </w:pPr>
      <w:r>
        <w:rPr>
          <w:rFonts w:hint="eastAsia"/>
        </w:rPr>
        <w:t xml:space="preserve">1.9.1 投标人须知前附表规定组织踏勘现场的，招标人按投标人须知前附表规定的时间、地点组织投标人踏勘项目现场。 </w:t>
      </w:r>
    </w:p>
    <w:p>
      <w:pPr>
        <w:spacing w:line="400" w:lineRule="exact"/>
        <w:ind w:firstLine="420" w:firstLineChars="200"/>
      </w:pPr>
      <w:r>
        <w:rPr>
          <w:rFonts w:hint="eastAsia"/>
        </w:rPr>
        <w:t>1.9.2 投标人踏勘现场发生的费用自理。</w:t>
      </w:r>
    </w:p>
    <w:p>
      <w:pPr>
        <w:spacing w:line="400" w:lineRule="exact"/>
        <w:ind w:firstLine="420" w:firstLineChars="200"/>
      </w:pPr>
      <w:r>
        <w:rPr>
          <w:rFonts w:hint="eastAsia"/>
        </w:rPr>
        <w:t>1.9.3 除招标人的原因外，投标人自行负责在踏勘现场中所发生的人员伤亡和财产损失。</w:t>
      </w:r>
    </w:p>
    <w:p>
      <w:pPr>
        <w:spacing w:line="40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pPr>
        <w:pStyle w:val="105"/>
      </w:pPr>
      <w:bookmarkStart w:id="86" w:name="_Toc499821515"/>
      <w:bookmarkStart w:id="87" w:name="_Toc499830058"/>
      <w:bookmarkStart w:id="88" w:name="_Toc227984012"/>
      <w:bookmarkStart w:id="89" w:name="_Toc269886750"/>
      <w:r>
        <w:rPr>
          <w:rFonts w:hint="eastAsia"/>
        </w:rPr>
        <w:t>1.10 偏离</w:t>
      </w:r>
      <w:bookmarkEnd w:id="86"/>
      <w:bookmarkEnd w:id="87"/>
      <w:bookmarkEnd w:id="88"/>
      <w:bookmarkEnd w:id="89"/>
    </w:p>
    <w:p>
      <w:pPr>
        <w:spacing w:line="400" w:lineRule="exact"/>
        <w:ind w:firstLine="359" w:firstLineChars="171"/>
      </w:pPr>
      <w:r>
        <w:rPr>
          <w:rFonts w:hint="eastAsia"/>
        </w:rPr>
        <w:t>投标人须知前附表允许投标文件偏离招标文件某些要求的，偏离应当符合招标文件规定的偏离范围和幅度。</w:t>
      </w:r>
    </w:p>
    <w:p>
      <w:pPr>
        <w:pStyle w:val="95"/>
      </w:pPr>
      <w:bookmarkStart w:id="90" w:name="_Toc152045542"/>
      <w:bookmarkStart w:id="91" w:name="_Toc227984013"/>
      <w:bookmarkStart w:id="92" w:name="_Toc152042318"/>
      <w:bookmarkStart w:id="93" w:name="_Toc499821516"/>
      <w:bookmarkStart w:id="94" w:name="_Toc499830059"/>
      <w:bookmarkStart w:id="95" w:name="_Toc269886751"/>
      <w:bookmarkStart w:id="96" w:name="_Toc144974510"/>
      <w:r>
        <w:rPr>
          <w:rFonts w:hint="eastAsia"/>
        </w:rPr>
        <w:t>2. 招标文件</w:t>
      </w:r>
      <w:bookmarkEnd w:id="90"/>
      <w:bookmarkEnd w:id="91"/>
      <w:bookmarkEnd w:id="92"/>
      <w:bookmarkEnd w:id="93"/>
      <w:bookmarkEnd w:id="94"/>
      <w:bookmarkEnd w:id="95"/>
      <w:bookmarkEnd w:id="96"/>
    </w:p>
    <w:p>
      <w:pPr>
        <w:pStyle w:val="105"/>
      </w:pPr>
      <w:bookmarkStart w:id="97" w:name="_Toc269886752"/>
      <w:bookmarkStart w:id="98" w:name="_Toc499821517"/>
      <w:bookmarkStart w:id="99" w:name="_Toc152045543"/>
      <w:bookmarkStart w:id="100" w:name="_Toc499830060"/>
      <w:bookmarkStart w:id="101" w:name="_Toc144974511"/>
      <w:bookmarkStart w:id="102" w:name="_Toc152042319"/>
      <w:bookmarkStart w:id="103" w:name="_Toc227984014"/>
      <w:r>
        <w:rPr>
          <w:rFonts w:hint="eastAsia"/>
        </w:rPr>
        <w:t>2.1 招标文件的组成</w:t>
      </w:r>
      <w:bookmarkEnd w:id="97"/>
      <w:bookmarkEnd w:id="98"/>
      <w:bookmarkEnd w:id="99"/>
      <w:bookmarkEnd w:id="100"/>
      <w:bookmarkEnd w:id="101"/>
      <w:bookmarkEnd w:id="102"/>
      <w:bookmarkEnd w:id="103"/>
    </w:p>
    <w:p>
      <w:pPr>
        <w:spacing w:line="400" w:lineRule="exact"/>
      </w:pPr>
      <w:r>
        <w:rPr>
          <w:rFonts w:hint="eastAsia"/>
        </w:rPr>
        <w:t>　　本招标文件包括：</w:t>
      </w:r>
    </w:p>
    <w:p>
      <w:pPr>
        <w:spacing w:line="400" w:lineRule="exact"/>
        <w:ind w:firstLine="359" w:firstLineChars="171"/>
      </w:pPr>
      <w:r>
        <w:rPr>
          <w:rFonts w:hint="eastAsia"/>
        </w:rPr>
        <w:t>（1）招标公告</w:t>
      </w:r>
    </w:p>
    <w:p>
      <w:pPr>
        <w:spacing w:line="400" w:lineRule="exact"/>
        <w:ind w:firstLine="359" w:firstLineChars="171"/>
      </w:pPr>
      <w:r>
        <w:rPr>
          <w:rFonts w:hint="eastAsia"/>
        </w:rPr>
        <w:t>（2）投标人须知</w:t>
      </w:r>
    </w:p>
    <w:p>
      <w:pPr>
        <w:spacing w:line="400" w:lineRule="exact"/>
        <w:ind w:firstLine="359" w:firstLineChars="171"/>
      </w:pPr>
      <w:r>
        <w:rPr>
          <w:rFonts w:hint="eastAsia"/>
        </w:rPr>
        <w:t>（3）评标办法</w:t>
      </w:r>
    </w:p>
    <w:p>
      <w:pPr>
        <w:spacing w:line="400" w:lineRule="exact"/>
        <w:ind w:firstLine="359" w:firstLineChars="171"/>
      </w:pPr>
      <w:r>
        <w:rPr>
          <w:rFonts w:hint="eastAsia"/>
        </w:rPr>
        <w:t>（4）合同条款及格式</w:t>
      </w:r>
    </w:p>
    <w:p>
      <w:pPr>
        <w:spacing w:line="400" w:lineRule="exact"/>
        <w:ind w:firstLine="359" w:firstLineChars="171"/>
      </w:pPr>
      <w:r>
        <w:rPr>
          <w:rFonts w:hint="eastAsia"/>
        </w:rPr>
        <w:t>（5）项目清单及说明</w:t>
      </w:r>
    </w:p>
    <w:p>
      <w:pPr>
        <w:spacing w:line="400" w:lineRule="exact"/>
        <w:ind w:firstLine="359" w:firstLineChars="171"/>
      </w:pPr>
      <w:r>
        <w:rPr>
          <w:rFonts w:hint="eastAsia"/>
        </w:rPr>
        <w:t>（6）投标文件格式</w:t>
      </w:r>
    </w:p>
    <w:p>
      <w:pPr>
        <w:spacing w:line="400" w:lineRule="exact"/>
        <w:ind w:firstLine="420" w:firstLineChars="200"/>
      </w:pPr>
      <w:r>
        <w:rPr>
          <w:rFonts w:hint="eastAsia"/>
        </w:rPr>
        <w:t>根据本章第2.2款对招标文件所作的澄清、修改，构成招标文件的组成部分。</w:t>
      </w:r>
    </w:p>
    <w:p>
      <w:pPr>
        <w:pStyle w:val="105"/>
      </w:pPr>
      <w:bookmarkStart w:id="104" w:name="_Toc144974512"/>
      <w:bookmarkStart w:id="105" w:name="_Toc152045544"/>
      <w:bookmarkStart w:id="106" w:name="_Toc152042320"/>
      <w:bookmarkStart w:id="107" w:name="_Toc227984015"/>
      <w:bookmarkStart w:id="108" w:name="_Toc269886753"/>
      <w:bookmarkStart w:id="109" w:name="_Toc499830061"/>
      <w:bookmarkStart w:id="110" w:name="_Toc499821518"/>
      <w:r>
        <w:rPr>
          <w:rFonts w:hint="eastAsia"/>
        </w:rPr>
        <w:t>2.2 招标文件的澄清</w:t>
      </w:r>
      <w:bookmarkEnd w:id="104"/>
      <w:bookmarkEnd w:id="105"/>
      <w:bookmarkEnd w:id="106"/>
      <w:r>
        <w:rPr>
          <w:rFonts w:hint="eastAsia"/>
        </w:rPr>
        <w:t>和修改</w:t>
      </w:r>
      <w:bookmarkEnd w:id="107"/>
      <w:bookmarkEnd w:id="108"/>
      <w:bookmarkEnd w:id="109"/>
      <w:bookmarkEnd w:id="110"/>
    </w:p>
    <w:p>
      <w:pPr>
        <w:spacing w:line="400" w:lineRule="exact"/>
        <w:ind w:firstLine="420" w:firstLineChars="200"/>
      </w:pPr>
      <w:r>
        <w:rPr>
          <w:rFonts w:hint="eastAsia"/>
        </w:rPr>
        <w:t>2.2.1投标人应仔细阅读和检查招标文件的全部内容。</w:t>
      </w:r>
      <w:r>
        <w:rPr>
          <w:rFonts w:hint="eastAsia" w:ascii="宋体" w:hAnsi="宋体"/>
        </w:rPr>
        <w:t>如发现内容不全，应及时向招标人提出，以便补齐。</w:t>
      </w:r>
      <w:r>
        <w:rPr>
          <w:rFonts w:hint="eastAsia"/>
        </w:rPr>
        <w:t>如有疑问，应在投标人须知前附表规定的时间前以书面形式，要求招标人对招标文件予以澄清。</w:t>
      </w:r>
    </w:p>
    <w:p>
      <w:pPr>
        <w:spacing w:line="400" w:lineRule="exact"/>
        <w:ind w:firstLine="420" w:firstLineChars="200"/>
      </w:pPr>
      <w:r>
        <w:rPr>
          <w:rFonts w:hint="eastAsia"/>
        </w:rPr>
        <w:t>2.2.2招标文件的澄清和修改将在投标人须知前附表规定的投标截止时间</w:t>
      </w:r>
      <w:r>
        <w:t>5</w:t>
      </w:r>
      <w:r>
        <w:rPr>
          <w:rFonts w:hint="eastAsia"/>
        </w:rPr>
        <w:t>天前，由招标人通过邮件形式发给所有购买招标文件的投标人，但不指明疑问的来源。</w:t>
      </w:r>
    </w:p>
    <w:p>
      <w:pPr>
        <w:spacing w:line="400" w:lineRule="exact"/>
        <w:ind w:firstLine="420" w:firstLineChars="200"/>
      </w:pPr>
      <w:r>
        <w:rPr>
          <w:rFonts w:hint="eastAsia"/>
        </w:rPr>
        <w:t>2.2.3 投标人应及时关注报名时所登记的邮箱，获取澄清和修改后的招标文件，未按澄清和修改后的招标文件编制的投标文件有可能被评标委员会否决。</w:t>
      </w:r>
    </w:p>
    <w:p>
      <w:pPr>
        <w:pStyle w:val="95"/>
      </w:pPr>
      <w:bookmarkStart w:id="111" w:name="_Toc269886754"/>
      <w:bookmarkStart w:id="112" w:name="_Toc227984016"/>
      <w:bookmarkStart w:id="113" w:name="_Toc144974514"/>
      <w:bookmarkStart w:id="114" w:name="_Toc152042322"/>
      <w:bookmarkStart w:id="115" w:name="_Toc499821519"/>
      <w:bookmarkStart w:id="116" w:name="_Toc152045546"/>
      <w:bookmarkStart w:id="117" w:name="_Toc499830062"/>
      <w:r>
        <w:rPr>
          <w:rFonts w:hint="eastAsia"/>
        </w:rPr>
        <w:t>3. 投标文件</w:t>
      </w:r>
      <w:bookmarkEnd w:id="111"/>
      <w:bookmarkEnd w:id="112"/>
      <w:bookmarkEnd w:id="113"/>
      <w:bookmarkEnd w:id="114"/>
      <w:bookmarkEnd w:id="115"/>
      <w:bookmarkEnd w:id="116"/>
      <w:bookmarkEnd w:id="117"/>
    </w:p>
    <w:p>
      <w:pPr>
        <w:pStyle w:val="105"/>
      </w:pPr>
      <w:bookmarkStart w:id="118" w:name="_Toc227984017"/>
      <w:bookmarkStart w:id="119" w:name="_Toc269886755"/>
      <w:bookmarkStart w:id="120" w:name="_Toc144974515"/>
      <w:bookmarkStart w:id="121" w:name="_Toc499821520"/>
      <w:bookmarkStart w:id="122" w:name="_Toc499830063"/>
      <w:bookmarkStart w:id="123" w:name="_Toc152042323"/>
      <w:bookmarkStart w:id="124" w:name="_Toc152045547"/>
      <w:r>
        <w:rPr>
          <w:rFonts w:hint="eastAsia"/>
        </w:rPr>
        <w:t>3.1 投标文件的组成</w:t>
      </w:r>
      <w:bookmarkEnd w:id="118"/>
      <w:bookmarkEnd w:id="119"/>
      <w:bookmarkEnd w:id="120"/>
      <w:bookmarkEnd w:id="121"/>
      <w:bookmarkEnd w:id="122"/>
      <w:bookmarkEnd w:id="123"/>
      <w:bookmarkEnd w:id="124"/>
      <w:r>
        <w:rPr>
          <w:rFonts w:hint="eastAsia"/>
        </w:rPr>
        <w:t xml:space="preserve">  </w:t>
      </w:r>
    </w:p>
    <w:p>
      <w:pPr>
        <w:spacing w:line="400" w:lineRule="exact"/>
      </w:pPr>
      <w:r>
        <w:rPr>
          <w:rFonts w:hint="eastAsia"/>
        </w:rPr>
        <w:t>　　3.1.1投标文件应包括下列内容：</w:t>
      </w:r>
    </w:p>
    <w:p>
      <w:pPr>
        <w:spacing w:line="400" w:lineRule="exact"/>
        <w:ind w:firstLine="359" w:firstLineChars="171"/>
      </w:pPr>
      <w:r>
        <w:rPr>
          <w:rFonts w:hint="eastAsia"/>
        </w:rPr>
        <w:t>（1）投标函、投标报价及项目相关文件</w:t>
      </w:r>
    </w:p>
    <w:p>
      <w:pPr>
        <w:spacing w:line="400" w:lineRule="exact"/>
        <w:ind w:firstLine="359" w:firstLineChars="171"/>
      </w:pPr>
      <w:r>
        <w:rPr>
          <w:rFonts w:hint="eastAsia"/>
        </w:rPr>
        <w:t>（2）资格证明文件</w:t>
      </w:r>
    </w:p>
    <w:p>
      <w:pPr>
        <w:spacing w:line="400" w:lineRule="exact"/>
        <w:ind w:firstLine="359" w:firstLineChars="171"/>
      </w:pPr>
      <w:r>
        <w:rPr>
          <w:rFonts w:hint="eastAsia"/>
        </w:rPr>
        <w:t>（3）相关附表；</w:t>
      </w:r>
    </w:p>
    <w:p>
      <w:pPr>
        <w:spacing w:line="400" w:lineRule="exact"/>
        <w:ind w:firstLine="359" w:firstLineChars="171"/>
      </w:pPr>
      <w:r>
        <w:rPr>
          <w:rFonts w:hint="eastAsia"/>
        </w:rPr>
        <w:t>（4）投标保证金；</w:t>
      </w:r>
      <w:bookmarkStart w:id="125" w:name="资格后审5"/>
    </w:p>
    <w:p>
      <w:pPr>
        <w:spacing w:line="400" w:lineRule="exact"/>
        <w:ind w:firstLine="359" w:firstLineChars="171"/>
      </w:pPr>
      <w:r>
        <w:rPr>
          <w:rFonts w:hint="eastAsia"/>
        </w:rPr>
        <w:t>（5投标人须知前附表规定的其他材料。</w:t>
      </w:r>
    </w:p>
    <w:bookmarkEnd w:id="125"/>
    <w:p>
      <w:pPr>
        <w:pStyle w:val="105"/>
      </w:pPr>
      <w:bookmarkStart w:id="126" w:name="_Toc152045548"/>
      <w:bookmarkStart w:id="127" w:name="_Toc499821521"/>
      <w:bookmarkStart w:id="128" w:name="_Toc152042324"/>
      <w:bookmarkStart w:id="129" w:name="_Toc499830064"/>
      <w:bookmarkStart w:id="130" w:name="_Toc227984018"/>
      <w:bookmarkStart w:id="131" w:name="_Toc269886756"/>
      <w:bookmarkStart w:id="132" w:name="_Toc144974516"/>
      <w:r>
        <w:rPr>
          <w:rFonts w:hint="eastAsia"/>
        </w:rPr>
        <w:t>3.2 投标报价</w:t>
      </w:r>
      <w:bookmarkEnd w:id="126"/>
      <w:bookmarkEnd w:id="127"/>
      <w:bookmarkEnd w:id="128"/>
      <w:bookmarkEnd w:id="129"/>
      <w:bookmarkEnd w:id="130"/>
      <w:bookmarkEnd w:id="131"/>
      <w:bookmarkEnd w:id="132"/>
    </w:p>
    <w:p>
      <w:pPr>
        <w:spacing w:line="400" w:lineRule="exact"/>
        <w:ind w:firstLine="420" w:firstLineChars="200"/>
      </w:pPr>
      <w:r>
        <w:rPr>
          <w:rFonts w:hint="eastAsia"/>
        </w:rPr>
        <w:t>3.2.1 投标人应按第五章“项目清单”的要求填写相应表格。</w:t>
      </w:r>
    </w:p>
    <w:p>
      <w:pPr>
        <w:spacing w:line="400" w:lineRule="exact"/>
        <w:ind w:firstLine="420" w:firstLineChars="200"/>
      </w:pPr>
      <w:r>
        <w:rPr>
          <w:rFonts w:hint="eastAsia"/>
        </w:rPr>
        <w:t>3.2.2 投标人在投标截止时间前修改投标函中的投标总报价，应同时修改第五章“项目清单”中的相应报价。　</w:t>
      </w:r>
    </w:p>
    <w:p>
      <w:pPr>
        <w:spacing w:line="400" w:lineRule="exact"/>
        <w:ind w:firstLine="420" w:firstLineChars="200"/>
      </w:pPr>
      <w:r>
        <w:rPr>
          <w:rFonts w:hint="eastAsia"/>
        </w:rPr>
        <w:t>3.2.3 投标报价应是采购文件所确定的全部工作内容的价格体现，因此供应商的投标报价应包括根据采购文件要求及现场勘查情况为完成该项目所需的显在的和隐含的一切费用。除非合同另有约定，响应报价均已包括了为实施和完成该项目并通过验收所需的施工、设备、劳务、管理、材料、土建、安装、交通、运输、维护、利润、税金及政策性文件规定的各项应有费用，以及合同明示和暗示的所有一切风险、责任和义务。因而供应商应根采购文件要求及现场勘查情况仔细计算并自行考虑风险系数进行响应报价，未列细目的费用将被视为已分摊在项目的有关细目的单价和总价中。</w:t>
      </w:r>
    </w:p>
    <w:p>
      <w:pPr>
        <w:spacing w:line="400" w:lineRule="exact"/>
        <w:ind w:firstLine="420" w:firstLineChars="200"/>
      </w:pPr>
      <w:r>
        <w:rPr>
          <w:rFonts w:hint="eastAsia"/>
        </w:rPr>
        <w:t>3.2.24 供应商应充分了解其环境、位置、情况、存储空间、装卸限制及任何其他足以影响报价及工期的情况，采购人对于现有施工环境及条件不再增加任何投入，采购人自行考虑风险计入响应报价内，成交后任何因忽略或误解工地情况而导致的索赔或工期延长申请将不获批准。</w:t>
      </w:r>
    </w:p>
    <w:p>
      <w:pPr>
        <w:spacing w:line="400" w:lineRule="exact"/>
        <w:ind w:firstLine="420" w:firstLineChars="200"/>
      </w:pPr>
      <w:r>
        <w:rPr>
          <w:rFonts w:hint="eastAsia"/>
        </w:rPr>
        <w:t>3.2.25投标报价是评审的重要依据之一。</w:t>
      </w:r>
    </w:p>
    <w:p>
      <w:pPr>
        <w:pStyle w:val="105"/>
      </w:pPr>
      <w:bookmarkStart w:id="133" w:name="_Toc499830065"/>
      <w:bookmarkStart w:id="134" w:name="_Toc227984019"/>
      <w:bookmarkStart w:id="135" w:name="_Toc499821522"/>
      <w:bookmarkStart w:id="136" w:name="_Toc144974517"/>
      <w:bookmarkStart w:id="137" w:name="_Toc152045549"/>
      <w:bookmarkStart w:id="138" w:name="_Toc152042325"/>
      <w:bookmarkStart w:id="139" w:name="_Toc269886757"/>
      <w:r>
        <w:rPr>
          <w:rFonts w:hint="eastAsia"/>
        </w:rPr>
        <w:t>3.3 投标有效期</w:t>
      </w:r>
      <w:bookmarkEnd w:id="133"/>
      <w:bookmarkEnd w:id="134"/>
      <w:bookmarkEnd w:id="135"/>
      <w:bookmarkEnd w:id="136"/>
      <w:bookmarkEnd w:id="137"/>
      <w:bookmarkEnd w:id="138"/>
      <w:bookmarkEnd w:id="139"/>
    </w:p>
    <w:p>
      <w:pPr>
        <w:spacing w:line="400" w:lineRule="exact"/>
        <w:ind w:firstLine="420" w:firstLineChars="200"/>
      </w:pPr>
      <w:r>
        <w:rPr>
          <w:rFonts w:hint="eastAsia"/>
        </w:rPr>
        <w:t>3.3.1 在投标人须知前附表规定的投标有效期内，投标人不得要求撤销或修改其投标文件。</w:t>
      </w:r>
    </w:p>
    <w:p>
      <w:pPr>
        <w:spacing w:line="400" w:lineRule="exact"/>
        <w:ind w:firstLine="420" w:firstLineChars="200"/>
      </w:pPr>
      <w:r>
        <w:rPr>
          <w:rFonts w:hint="eastAsia"/>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105"/>
      </w:pPr>
      <w:bookmarkStart w:id="140" w:name="_Toc499830066"/>
      <w:bookmarkStart w:id="141" w:name="_Toc152045550"/>
      <w:bookmarkStart w:id="142" w:name="_Toc269886758"/>
      <w:bookmarkStart w:id="143" w:name="_Toc499821523"/>
      <w:bookmarkStart w:id="144" w:name="_Toc144974518"/>
      <w:bookmarkStart w:id="145" w:name="_Toc152042326"/>
      <w:bookmarkStart w:id="146" w:name="_Toc227984020"/>
      <w:r>
        <w:rPr>
          <w:rFonts w:hint="eastAsia"/>
        </w:rPr>
        <w:t>3.4 投标保证金</w:t>
      </w:r>
      <w:bookmarkEnd w:id="140"/>
      <w:bookmarkEnd w:id="141"/>
      <w:bookmarkEnd w:id="142"/>
      <w:bookmarkEnd w:id="143"/>
      <w:bookmarkEnd w:id="144"/>
      <w:bookmarkEnd w:id="145"/>
      <w:bookmarkEnd w:id="146"/>
    </w:p>
    <w:p>
      <w:pPr>
        <w:spacing w:line="400" w:lineRule="exact"/>
        <w:ind w:firstLine="420" w:firstLineChars="200"/>
        <w:rPr>
          <w:rFonts w:ascii="黑体" w:eastAsia="黑体"/>
          <w:b/>
        </w:rPr>
      </w:pPr>
      <w:r>
        <w:rPr>
          <w:rFonts w:hint="eastAsia"/>
        </w:rPr>
        <w:t>3.4.1投标人应在投标截止时间前按投标人须知前附表规定的金额、形式递交投标保证金。投标人应充分考虑投标保证金在途时间，确保投标保证金在投标截止时间前到达投标人须知前附表规定帐户。投标人应将招标人出具的投标保证金收据的电子图片随投标文件递交。</w:t>
      </w:r>
    </w:p>
    <w:p>
      <w:pPr>
        <w:pStyle w:val="105"/>
        <w:ind w:firstLine="420" w:firstLineChars="200"/>
        <w:rPr>
          <w:rFonts w:eastAsia="宋体"/>
          <w:sz w:val="21"/>
        </w:rPr>
      </w:pPr>
      <w:bookmarkStart w:id="147" w:name="_Toc499830067"/>
      <w:bookmarkStart w:id="148" w:name="_Toc499821524"/>
      <w:r>
        <w:rPr>
          <w:rFonts w:hint="eastAsia" w:eastAsia="宋体"/>
          <w:sz w:val="21"/>
        </w:rPr>
        <w:t>3.4.2未按规定提交响应保证金的报价无效。</w:t>
      </w:r>
    </w:p>
    <w:p>
      <w:pPr>
        <w:pStyle w:val="105"/>
        <w:ind w:firstLine="420" w:firstLineChars="200"/>
        <w:rPr>
          <w:rFonts w:eastAsia="宋体"/>
          <w:sz w:val="21"/>
        </w:rPr>
      </w:pPr>
      <w:r>
        <w:rPr>
          <w:rFonts w:hint="eastAsia" w:eastAsia="宋体"/>
          <w:sz w:val="21"/>
        </w:rPr>
        <w:t>3.4.3落标方的响应保证金在中标通知书发出后5日内无息退还至供应商账户。</w:t>
      </w:r>
    </w:p>
    <w:p>
      <w:pPr>
        <w:pStyle w:val="105"/>
        <w:ind w:firstLine="420" w:firstLineChars="200"/>
        <w:rPr>
          <w:rFonts w:eastAsia="宋体"/>
          <w:sz w:val="21"/>
        </w:rPr>
      </w:pPr>
      <w:r>
        <w:rPr>
          <w:rFonts w:hint="eastAsia" w:eastAsia="宋体"/>
          <w:sz w:val="21"/>
        </w:rPr>
        <w:t>3.4.4成交人的响应保证金，在签订合同后转为履约保证金。</w:t>
      </w:r>
    </w:p>
    <w:p>
      <w:pPr>
        <w:pStyle w:val="105"/>
        <w:ind w:firstLine="420" w:firstLineChars="200"/>
        <w:rPr>
          <w:rFonts w:eastAsia="宋体"/>
          <w:sz w:val="21"/>
        </w:rPr>
      </w:pPr>
      <w:r>
        <w:rPr>
          <w:rFonts w:hint="eastAsia" w:eastAsia="宋体"/>
          <w:sz w:val="21"/>
        </w:rPr>
        <w:t>3.4.5发生下列任何情况时，响应保证金不予退还：</w:t>
      </w:r>
    </w:p>
    <w:p>
      <w:pPr>
        <w:pStyle w:val="105"/>
        <w:ind w:firstLine="420" w:firstLineChars="200"/>
        <w:rPr>
          <w:rFonts w:eastAsia="宋体"/>
          <w:sz w:val="21"/>
        </w:rPr>
      </w:pPr>
      <w:r>
        <w:rPr>
          <w:rFonts w:hint="eastAsia" w:eastAsia="宋体"/>
          <w:sz w:val="21"/>
        </w:rPr>
        <w:t>（1）成交人在规定的投标有效期内撤回其投标。</w:t>
      </w:r>
    </w:p>
    <w:p>
      <w:pPr>
        <w:pStyle w:val="105"/>
        <w:ind w:firstLine="420" w:firstLineChars="200"/>
        <w:rPr>
          <w:rFonts w:eastAsia="宋体"/>
          <w:sz w:val="21"/>
        </w:rPr>
      </w:pPr>
      <w:r>
        <w:rPr>
          <w:rFonts w:hint="eastAsia" w:eastAsia="宋体"/>
          <w:sz w:val="21"/>
        </w:rPr>
        <w:t>（2）成交人在接成交通知书30日内未能按采购文件要求签订合同；</w:t>
      </w:r>
    </w:p>
    <w:p>
      <w:pPr>
        <w:pStyle w:val="105"/>
        <w:ind w:firstLine="420" w:firstLineChars="200"/>
        <w:rPr>
          <w:rFonts w:eastAsia="宋体"/>
          <w:sz w:val="21"/>
        </w:rPr>
      </w:pPr>
      <w:r>
        <w:rPr>
          <w:rFonts w:hint="eastAsia" w:eastAsia="宋体"/>
          <w:sz w:val="21"/>
        </w:rPr>
        <w:t>（3）预成交供应商无正当理由放弃成交资格的；</w:t>
      </w:r>
    </w:p>
    <w:p>
      <w:pPr>
        <w:pStyle w:val="105"/>
        <w:ind w:firstLine="420" w:firstLineChars="200"/>
        <w:rPr>
          <w:rFonts w:eastAsia="宋体"/>
          <w:sz w:val="21"/>
        </w:rPr>
      </w:pPr>
      <w:r>
        <w:rPr>
          <w:rFonts w:hint="eastAsia" w:eastAsia="宋体"/>
          <w:sz w:val="21"/>
        </w:rPr>
        <w:t>（4）提供虚假的响应文件。</w:t>
      </w:r>
    </w:p>
    <w:p>
      <w:pPr>
        <w:pStyle w:val="105"/>
      </w:pPr>
      <w:r>
        <w:rPr>
          <w:rFonts w:hint="eastAsia"/>
        </w:rPr>
        <w:t>3.5 资格审查资料</w:t>
      </w:r>
      <w:bookmarkEnd w:id="147"/>
      <w:bookmarkEnd w:id="148"/>
    </w:p>
    <w:p>
      <w:pPr>
        <w:pStyle w:val="105"/>
      </w:pPr>
      <w:bookmarkStart w:id="149" w:name="_Toc152045553"/>
      <w:bookmarkStart w:id="150" w:name="_Toc152042329"/>
      <w:bookmarkStart w:id="151" w:name="_Toc144974521"/>
      <w:bookmarkStart w:id="152" w:name="_Toc227984022"/>
      <w:bookmarkStart w:id="153" w:name="_Toc269886760"/>
      <w:bookmarkStart w:id="154" w:name="_Toc499830068"/>
      <w:bookmarkStart w:id="155" w:name="_Toc499821525"/>
      <w:r>
        <w:rPr>
          <w:rFonts w:hint="eastAsia"/>
        </w:rPr>
        <w:t>3.6 备选投标方案</w:t>
      </w:r>
      <w:bookmarkEnd w:id="149"/>
      <w:bookmarkEnd w:id="150"/>
      <w:bookmarkEnd w:id="151"/>
      <w:bookmarkEnd w:id="152"/>
      <w:bookmarkEnd w:id="153"/>
      <w:bookmarkEnd w:id="154"/>
      <w:bookmarkEnd w:id="155"/>
    </w:p>
    <w:p>
      <w:pPr>
        <w:spacing w:line="400" w:lineRule="exact"/>
        <w:ind w:firstLine="420" w:firstLineChars="200"/>
      </w:pPr>
      <w:r>
        <w:rPr>
          <w:rFonts w:hint="eastAsia"/>
        </w:rPr>
        <w:t>除投标人须知前附表另有规定外，投标人不得递交备选投标方案。</w:t>
      </w:r>
    </w:p>
    <w:p>
      <w:pPr>
        <w:pStyle w:val="105"/>
      </w:pPr>
      <w:bookmarkStart w:id="156" w:name="_Toc499821526"/>
      <w:bookmarkStart w:id="157" w:name="_Toc269886761"/>
      <w:bookmarkStart w:id="158" w:name="_Toc152042330"/>
      <w:bookmarkStart w:id="159" w:name="_Toc152045554"/>
      <w:bookmarkStart w:id="160" w:name="_Toc144974522"/>
      <w:bookmarkStart w:id="161" w:name="_Toc499830069"/>
      <w:bookmarkStart w:id="162" w:name="_Toc227984023"/>
      <w:r>
        <w:rPr>
          <w:rFonts w:hint="eastAsia"/>
        </w:rPr>
        <w:t>3.7 投标文件的编制</w:t>
      </w:r>
      <w:bookmarkEnd w:id="156"/>
      <w:bookmarkEnd w:id="157"/>
      <w:bookmarkEnd w:id="158"/>
      <w:bookmarkEnd w:id="159"/>
      <w:bookmarkEnd w:id="160"/>
      <w:bookmarkEnd w:id="161"/>
      <w:bookmarkEnd w:id="162"/>
    </w:p>
    <w:p>
      <w:pPr>
        <w:spacing w:line="400" w:lineRule="exact"/>
        <w:ind w:firstLine="420" w:firstLineChars="200"/>
      </w:pPr>
      <w:r>
        <w:rPr>
          <w:rFonts w:hint="eastAsia"/>
        </w:rPr>
        <w:t>3.7.1投标文件应按第六章“投标文件格式”编制。其中，投标函附录在满足招标文件实质性要求的基础上，可以提出比招标文件要求更有利于招标人的承诺。</w:t>
      </w:r>
    </w:p>
    <w:p>
      <w:pPr>
        <w:spacing w:line="400" w:lineRule="exact"/>
        <w:ind w:firstLine="420" w:firstLineChars="200"/>
      </w:pPr>
      <w:r>
        <w:rPr>
          <w:rFonts w:hint="eastAsia"/>
        </w:rPr>
        <w:t>3.7.2 投标文件应当对招标文件有关工期、投标有效期、质量要求、技术标准和要求、招标范围等实质性内容作出响应。</w:t>
      </w:r>
    </w:p>
    <w:p>
      <w:pPr>
        <w:spacing w:line="400" w:lineRule="exact"/>
        <w:ind w:firstLine="420" w:firstLineChars="200"/>
      </w:pPr>
      <w:r>
        <w:rPr>
          <w:rFonts w:hint="eastAsia"/>
        </w:rPr>
        <w:t>3.7.3投标文件应在投标函、授权委托书、承诺书加盖公章，正本1份和副本4份，在每一份投标文件上应明确注明"正本"或"副本"字样，正本必须用永久性字迹填写和打印，副本可用复印件，如出现差异，以正本为准；</w:t>
      </w:r>
    </w:p>
    <w:p>
      <w:pPr>
        <w:spacing w:line="400" w:lineRule="exact"/>
        <w:ind w:firstLine="420" w:firstLineChars="200"/>
      </w:pPr>
      <w:r>
        <w:rPr>
          <w:rFonts w:hint="eastAsia"/>
        </w:rPr>
        <w:t>3.7.4投标文件的正本和副本须由供应商法人代表或法人代表授权人（以下简称授权代表）签字或盖章；</w:t>
      </w:r>
    </w:p>
    <w:p>
      <w:pPr>
        <w:pStyle w:val="95"/>
      </w:pPr>
      <w:bookmarkStart w:id="163" w:name="_Toc499821527"/>
      <w:bookmarkStart w:id="164" w:name="_Toc152042331"/>
      <w:bookmarkStart w:id="165" w:name="_Toc269886762"/>
      <w:bookmarkStart w:id="166" w:name="_Toc144974523"/>
      <w:bookmarkStart w:id="167" w:name="_Toc227984024"/>
      <w:bookmarkStart w:id="168" w:name="_Toc499830070"/>
      <w:bookmarkStart w:id="169" w:name="_Toc152045555"/>
      <w:r>
        <w:rPr>
          <w:rFonts w:hint="eastAsia"/>
        </w:rPr>
        <w:t>4. 投标</w:t>
      </w:r>
      <w:bookmarkEnd w:id="163"/>
      <w:bookmarkEnd w:id="164"/>
      <w:bookmarkEnd w:id="165"/>
      <w:bookmarkEnd w:id="166"/>
      <w:bookmarkEnd w:id="167"/>
      <w:bookmarkEnd w:id="168"/>
      <w:bookmarkEnd w:id="169"/>
    </w:p>
    <w:p>
      <w:pPr>
        <w:pStyle w:val="105"/>
      </w:pPr>
      <w:bookmarkStart w:id="170" w:name="_Toc499830071"/>
      <w:bookmarkStart w:id="171" w:name="_Toc269886764"/>
      <w:bookmarkStart w:id="172" w:name="_Toc152045557"/>
      <w:bookmarkStart w:id="173" w:name="_Toc499821528"/>
      <w:bookmarkStart w:id="174" w:name="_Toc144974525"/>
      <w:bookmarkStart w:id="175" w:name="_Toc152042333"/>
      <w:bookmarkStart w:id="176" w:name="_Toc227984026"/>
      <w:r>
        <w:rPr>
          <w:rFonts w:hint="eastAsia"/>
        </w:rPr>
        <w:t>4.2 投标文件的递交</w:t>
      </w:r>
      <w:bookmarkEnd w:id="170"/>
      <w:bookmarkEnd w:id="171"/>
      <w:bookmarkEnd w:id="172"/>
      <w:bookmarkEnd w:id="173"/>
      <w:bookmarkEnd w:id="174"/>
      <w:bookmarkEnd w:id="175"/>
      <w:bookmarkEnd w:id="176"/>
    </w:p>
    <w:p>
      <w:pPr>
        <w:spacing w:line="400" w:lineRule="exact"/>
        <w:ind w:firstLine="420" w:firstLineChars="200"/>
      </w:pPr>
      <w:r>
        <w:rPr>
          <w:rFonts w:hint="eastAsia"/>
        </w:rPr>
        <w:t>4.2.1投标人应在规定的投标截止时间前递交投标文件，未在投标截止时间前完成递交的投标文件视为逾期送达。</w:t>
      </w:r>
    </w:p>
    <w:p>
      <w:pPr>
        <w:spacing w:line="400" w:lineRule="exact"/>
        <w:ind w:firstLine="420" w:firstLineChars="200"/>
      </w:pPr>
      <w:r>
        <w:rPr>
          <w:rFonts w:hint="eastAsia"/>
        </w:rPr>
        <w:t>4.2.2 投标人递交投标文件的地点：见投标人须知前附表。</w:t>
      </w:r>
    </w:p>
    <w:p>
      <w:pPr>
        <w:spacing w:line="400" w:lineRule="exact"/>
        <w:ind w:firstLine="420" w:firstLineChars="200"/>
      </w:pPr>
      <w:r>
        <w:rPr>
          <w:rFonts w:hint="eastAsia"/>
        </w:rPr>
        <w:t>4.2.3 除投标人须知前附表另有规定外，投标人所递交的投标文件不予退还。</w:t>
      </w:r>
    </w:p>
    <w:p>
      <w:pPr>
        <w:spacing w:line="400" w:lineRule="exact"/>
        <w:ind w:firstLine="420" w:firstLineChars="200"/>
      </w:pPr>
      <w:r>
        <w:rPr>
          <w:rFonts w:hint="eastAsia"/>
        </w:rPr>
        <w:t>4.2.4招标人收到投标文件后，向投标人出具签收凭证。</w:t>
      </w:r>
    </w:p>
    <w:p>
      <w:pPr>
        <w:spacing w:line="400" w:lineRule="exact"/>
        <w:ind w:firstLine="420" w:firstLineChars="200"/>
      </w:pPr>
      <w:r>
        <w:rPr>
          <w:rFonts w:hint="eastAsia"/>
        </w:rPr>
        <w:t>4.2.5 逾期送达的或者未送达指定地点的投标文件，招标人不予受理。</w:t>
      </w:r>
    </w:p>
    <w:p>
      <w:pPr>
        <w:pStyle w:val="105"/>
      </w:pPr>
      <w:bookmarkStart w:id="177" w:name="_Toc227984027"/>
      <w:bookmarkStart w:id="178" w:name="_Toc152045558"/>
      <w:bookmarkStart w:id="179" w:name="_Toc152042334"/>
      <w:bookmarkStart w:id="180" w:name="_Toc269886765"/>
      <w:bookmarkStart w:id="181" w:name="_Toc499821529"/>
      <w:bookmarkStart w:id="182" w:name="_Toc499830072"/>
      <w:bookmarkStart w:id="183" w:name="_Toc144974526"/>
      <w:r>
        <w:rPr>
          <w:rFonts w:hint="eastAsia"/>
        </w:rPr>
        <w:t>4.3 投标文件的修改与撤回</w:t>
      </w:r>
      <w:bookmarkEnd w:id="177"/>
      <w:bookmarkEnd w:id="178"/>
      <w:bookmarkEnd w:id="179"/>
      <w:bookmarkEnd w:id="180"/>
      <w:bookmarkEnd w:id="181"/>
      <w:bookmarkEnd w:id="182"/>
      <w:bookmarkEnd w:id="183"/>
    </w:p>
    <w:p>
      <w:pPr>
        <w:spacing w:line="400" w:lineRule="exact"/>
        <w:ind w:firstLine="420" w:firstLineChars="200"/>
      </w:pPr>
      <w:r>
        <w:rPr>
          <w:rFonts w:hint="eastAsia"/>
        </w:rPr>
        <w:t>4.3.1在规定的投标截止时间前，投标人可以修改或撤回已递交的投标文件，投标文件以投标截止时间前递交的最后一份投标文件为准。</w:t>
      </w:r>
    </w:p>
    <w:p>
      <w:pPr>
        <w:spacing w:line="400" w:lineRule="exact"/>
        <w:ind w:firstLine="420" w:firstLineChars="200"/>
      </w:pPr>
      <w:r>
        <w:rPr>
          <w:rFonts w:hint="eastAsia"/>
        </w:rPr>
        <w:t>4.3.3修改的投标文件应按照规定进行编制和递交。</w:t>
      </w:r>
    </w:p>
    <w:p>
      <w:pPr>
        <w:pStyle w:val="95"/>
      </w:pPr>
      <w:bookmarkStart w:id="184" w:name="_Toc152045559"/>
      <w:bookmarkStart w:id="185" w:name="_Toc144974527"/>
      <w:bookmarkStart w:id="186" w:name="_Toc227984028"/>
      <w:bookmarkStart w:id="187" w:name="_Toc152042335"/>
      <w:bookmarkStart w:id="188" w:name="_Toc269886766"/>
      <w:bookmarkStart w:id="189" w:name="_Toc499821530"/>
      <w:bookmarkStart w:id="190" w:name="_Toc499830073"/>
      <w:r>
        <w:rPr>
          <w:rFonts w:hint="eastAsia"/>
        </w:rPr>
        <w:t>5. 开标</w:t>
      </w:r>
      <w:bookmarkEnd w:id="184"/>
      <w:bookmarkEnd w:id="185"/>
      <w:bookmarkEnd w:id="186"/>
      <w:bookmarkEnd w:id="187"/>
      <w:bookmarkEnd w:id="188"/>
      <w:bookmarkEnd w:id="189"/>
      <w:bookmarkEnd w:id="190"/>
    </w:p>
    <w:p>
      <w:pPr>
        <w:pStyle w:val="105"/>
      </w:pPr>
      <w:bookmarkStart w:id="191" w:name="_Toc269886767"/>
      <w:bookmarkStart w:id="192" w:name="_Toc152045560"/>
      <w:bookmarkStart w:id="193" w:name="_Toc144974528"/>
      <w:bookmarkStart w:id="194" w:name="_Toc152042336"/>
      <w:bookmarkStart w:id="195" w:name="_Toc499830074"/>
      <w:bookmarkStart w:id="196" w:name="_Toc227984029"/>
      <w:bookmarkStart w:id="197" w:name="_Toc499821531"/>
      <w:r>
        <w:rPr>
          <w:rFonts w:hint="eastAsia"/>
        </w:rPr>
        <w:t>5.1 开标时间</w:t>
      </w:r>
      <w:bookmarkEnd w:id="191"/>
      <w:bookmarkEnd w:id="192"/>
      <w:bookmarkEnd w:id="193"/>
      <w:bookmarkEnd w:id="194"/>
      <w:bookmarkEnd w:id="195"/>
      <w:bookmarkEnd w:id="196"/>
      <w:bookmarkEnd w:id="197"/>
    </w:p>
    <w:p>
      <w:pPr>
        <w:spacing w:line="400" w:lineRule="exact"/>
        <w:ind w:firstLine="420" w:firstLineChars="200"/>
      </w:pPr>
      <w:r>
        <w:rPr>
          <w:rFonts w:hint="eastAsia"/>
        </w:rPr>
        <w:t>5.1.1招标人在规定的投标截止时间（开标时间）开标。</w:t>
      </w:r>
    </w:p>
    <w:p>
      <w:pPr>
        <w:pStyle w:val="105"/>
      </w:pPr>
      <w:bookmarkStart w:id="198" w:name="_Toc499830076"/>
      <w:bookmarkStart w:id="199" w:name="_Toc499821533"/>
      <w:bookmarkStart w:id="200" w:name="_Toc152045562"/>
      <w:bookmarkStart w:id="201" w:name="_Toc269886769"/>
      <w:bookmarkStart w:id="202" w:name="_Toc152042338"/>
      <w:bookmarkStart w:id="203" w:name="_Toc227984031"/>
      <w:bookmarkStart w:id="204" w:name="_Toc144974530"/>
      <w:r>
        <w:t>5.</w:t>
      </w:r>
      <w:r>
        <w:rPr>
          <w:rFonts w:hint="eastAsia"/>
        </w:rPr>
        <w:t>2开标时出现下列情况的，招标人将拒绝其投标。</w:t>
      </w:r>
      <w:bookmarkEnd w:id="198"/>
      <w:bookmarkEnd w:id="199"/>
    </w:p>
    <w:p>
      <w:pPr>
        <w:spacing w:line="400" w:lineRule="exact"/>
        <w:ind w:firstLine="359" w:firstLineChars="171"/>
      </w:pPr>
      <w:r>
        <w:rPr>
          <w:rFonts w:hint="eastAsia"/>
        </w:rPr>
        <w:t>1、有违反法律、法规行为，依法被取消投标资格且期限未满的；</w:t>
      </w:r>
    </w:p>
    <w:p>
      <w:pPr>
        <w:spacing w:line="400" w:lineRule="exact"/>
        <w:ind w:firstLine="359" w:firstLineChars="171"/>
      </w:pPr>
      <w:r>
        <w:rPr>
          <w:rFonts w:hint="eastAsia"/>
        </w:rPr>
        <w:t>2、因招投标活动中有违法违规行为，被有关建设行政监督部门公示且公示期限未满的；</w:t>
      </w:r>
    </w:p>
    <w:p>
      <w:pPr>
        <w:spacing w:line="400" w:lineRule="exact"/>
        <w:ind w:firstLine="359" w:firstLineChars="171"/>
      </w:pPr>
      <w:r>
        <w:rPr>
          <w:rFonts w:hint="eastAsia"/>
        </w:rPr>
        <w:t>3、投标文件逾期递交的；</w:t>
      </w:r>
    </w:p>
    <w:p>
      <w:pPr>
        <w:spacing w:line="400" w:lineRule="exact"/>
        <w:ind w:firstLine="359" w:firstLineChars="171"/>
      </w:pPr>
      <w:r>
        <w:rPr>
          <w:rFonts w:hint="eastAsia"/>
        </w:rPr>
        <w:t>4、未按“投标人参加开标会要求”参加开标的；</w:t>
      </w:r>
    </w:p>
    <w:p>
      <w:pPr>
        <w:pStyle w:val="95"/>
      </w:pPr>
      <w:bookmarkStart w:id="205" w:name="_Toc499830077"/>
      <w:bookmarkStart w:id="206" w:name="_Toc499821534"/>
      <w:r>
        <w:rPr>
          <w:rFonts w:hint="eastAsia"/>
        </w:rPr>
        <w:t>6. 评标</w:t>
      </w:r>
      <w:bookmarkEnd w:id="200"/>
      <w:bookmarkEnd w:id="201"/>
      <w:bookmarkEnd w:id="202"/>
      <w:bookmarkEnd w:id="203"/>
      <w:bookmarkEnd w:id="204"/>
      <w:bookmarkEnd w:id="205"/>
      <w:bookmarkEnd w:id="206"/>
    </w:p>
    <w:p>
      <w:pPr>
        <w:pStyle w:val="105"/>
      </w:pPr>
      <w:bookmarkStart w:id="207" w:name="_Toc499830078"/>
      <w:bookmarkStart w:id="208" w:name="_Toc152042339"/>
      <w:bookmarkStart w:id="209" w:name="_Toc144974531"/>
      <w:bookmarkStart w:id="210" w:name="_Toc152045563"/>
      <w:bookmarkStart w:id="211" w:name="_Toc499821535"/>
      <w:bookmarkStart w:id="212" w:name="_Toc269886770"/>
      <w:bookmarkStart w:id="213" w:name="_Toc227984032"/>
      <w:r>
        <w:rPr>
          <w:rFonts w:hint="eastAsia"/>
        </w:rPr>
        <w:t>6.1 评标委员会</w:t>
      </w:r>
      <w:bookmarkEnd w:id="207"/>
      <w:bookmarkEnd w:id="208"/>
      <w:bookmarkEnd w:id="209"/>
      <w:bookmarkEnd w:id="210"/>
      <w:bookmarkEnd w:id="211"/>
      <w:bookmarkEnd w:id="212"/>
      <w:bookmarkEnd w:id="213"/>
    </w:p>
    <w:p>
      <w:pPr>
        <w:spacing w:line="400" w:lineRule="exact"/>
        <w:ind w:firstLine="420" w:firstLineChars="200"/>
      </w:pPr>
      <w:r>
        <w:rPr>
          <w:rFonts w:hint="eastAsia"/>
        </w:rPr>
        <w:t>6.1.1 评标委员会成员有下列情形之一的，应当回避：</w:t>
      </w:r>
    </w:p>
    <w:p>
      <w:pPr>
        <w:spacing w:line="400" w:lineRule="exact"/>
        <w:ind w:firstLine="718" w:firstLineChars="342"/>
      </w:pPr>
      <w:r>
        <w:rPr>
          <w:rFonts w:hint="eastAsia"/>
        </w:rPr>
        <w:t>（1）招标人或投标人的主要负责人的近亲属；</w:t>
      </w:r>
    </w:p>
    <w:p>
      <w:pPr>
        <w:spacing w:line="400" w:lineRule="exact"/>
        <w:ind w:firstLine="718" w:firstLineChars="342"/>
      </w:pPr>
      <w:r>
        <w:rPr>
          <w:rFonts w:hint="eastAsia"/>
        </w:rPr>
        <w:t>（2）项目主管部门或者行政监督部门的人员；</w:t>
      </w:r>
    </w:p>
    <w:p>
      <w:pPr>
        <w:spacing w:line="400" w:lineRule="exact"/>
        <w:ind w:firstLine="718" w:firstLineChars="342"/>
      </w:pPr>
      <w:r>
        <w:rPr>
          <w:rFonts w:hint="eastAsia"/>
        </w:rPr>
        <w:t>（3）与投标人有经济利益关系，可能影响对投标公正评审的；</w:t>
      </w:r>
    </w:p>
    <w:p>
      <w:pPr>
        <w:spacing w:line="400" w:lineRule="exact"/>
        <w:ind w:firstLine="718" w:firstLineChars="342"/>
      </w:pPr>
      <w:r>
        <w:rPr>
          <w:rFonts w:hint="eastAsia"/>
        </w:rPr>
        <w:t>（4）曾因在招标、评标以及其他与招标投标有关活动中从事违法行为而受过行政处罚或刑事处罚的。</w:t>
      </w:r>
    </w:p>
    <w:p>
      <w:pPr>
        <w:pStyle w:val="105"/>
        <w:tabs>
          <w:tab w:val="left" w:pos="2620"/>
        </w:tabs>
      </w:pPr>
      <w:bookmarkStart w:id="214" w:name="_Toc499830079"/>
      <w:bookmarkStart w:id="215" w:name="_Toc269886771"/>
      <w:bookmarkStart w:id="216" w:name="_Toc499821536"/>
      <w:bookmarkStart w:id="217" w:name="_Toc144974532"/>
      <w:bookmarkStart w:id="218" w:name="_Toc152042340"/>
      <w:bookmarkStart w:id="219" w:name="_Toc152045564"/>
      <w:bookmarkStart w:id="220" w:name="_Toc227984033"/>
      <w:r>
        <w:rPr>
          <w:rFonts w:hint="eastAsia"/>
        </w:rPr>
        <w:t>6.2 评标原则</w:t>
      </w:r>
      <w:bookmarkEnd w:id="214"/>
      <w:bookmarkEnd w:id="215"/>
      <w:bookmarkEnd w:id="216"/>
      <w:bookmarkEnd w:id="217"/>
      <w:bookmarkEnd w:id="218"/>
      <w:bookmarkEnd w:id="219"/>
      <w:bookmarkEnd w:id="220"/>
      <w:r>
        <w:tab/>
      </w:r>
    </w:p>
    <w:p>
      <w:pPr>
        <w:spacing w:line="400" w:lineRule="exact"/>
        <w:ind w:firstLine="420" w:firstLineChars="200"/>
      </w:pPr>
      <w:r>
        <w:rPr>
          <w:rFonts w:hint="eastAsia"/>
        </w:rPr>
        <w:t>评标活动遵循公平、公正、科学和择优的原则。</w:t>
      </w:r>
    </w:p>
    <w:p>
      <w:pPr>
        <w:pStyle w:val="105"/>
      </w:pPr>
      <w:bookmarkStart w:id="221" w:name="_Toc499821537"/>
      <w:bookmarkStart w:id="222" w:name="_Toc227984034"/>
      <w:bookmarkStart w:id="223" w:name="_Toc144974533"/>
      <w:bookmarkStart w:id="224" w:name="_Toc152045565"/>
      <w:bookmarkStart w:id="225" w:name="_Toc269886772"/>
      <w:bookmarkStart w:id="226" w:name="_Toc152042341"/>
      <w:bookmarkStart w:id="227" w:name="_Toc499830080"/>
      <w:r>
        <w:rPr>
          <w:rFonts w:hint="eastAsia"/>
        </w:rPr>
        <w:t>6.3 评标</w:t>
      </w:r>
      <w:bookmarkEnd w:id="221"/>
      <w:bookmarkEnd w:id="222"/>
      <w:bookmarkEnd w:id="223"/>
      <w:bookmarkEnd w:id="224"/>
      <w:bookmarkEnd w:id="225"/>
      <w:bookmarkEnd w:id="226"/>
      <w:bookmarkEnd w:id="227"/>
    </w:p>
    <w:p>
      <w:pPr>
        <w:spacing w:line="400" w:lineRule="exact"/>
        <w:ind w:firstLine="420" w:firstLineChars="200"/>
      </w:pPr>
      <w:r>
        <w:rPr>
          <w:rFonts w:hint="eastAsia"/>
        </w:rPr>
        <w:t>评标委员会按照“评标办法”规定的方法、评审因素、标准和程序对投标文件进行评审。“评标办法”没有规定的方法、评审因素和标准，不作为评标依据。</w:t>
      </w:r>
    </w:p>
    <w:p>
      <w:pPr>
        <w:pStyle w:val="95"/>
      </w:pPr>
      <w:bookmarkStart w:id="228" w:name="_Toc152045566"/>
      <w:bookmarkStart w:id="229" w:name="_Toc269886773"/>
      <w:bookmarkStart w:id="230" w:name="_Toc227984035"/>
      <w:bookmarkStart w:id="231" w:name="_Toc152042342"/>
      <w:bookmarkStart w:id="232" w:name="_Toc144974534"/>
      <w:bookmarkStart w:id="233" w:name="_Toc499830081"/>
      <w:bookmarkStart w:id="234" w:name="_Toc499821538"/>
      <w:r>
        <w:rPr>
          <w:rFonts w:hint="eastAsia"/>
        </w:rPr>
        <w:t>7. 合同授予</w:t>
      </w:r>
      <w:bookmarkEnd w:id="228"/>
      <w:bookmarkEnd w:id="229"/>
      <w:bookmarkEnd w:id="230"/>
      <w:bookmarkEnd w:id="231"/>
      <w:bookmarkEnd w:id="232"/>
      <w:bookmarkEnd w:id="233"/>
      <w:bookmarkEnd w:id="234"/>
    </w:p>
    <w:p>
      <w:pPr>
        <w:pStyle w:val="105"/>
      </w:pPr>
      <w:bookmarkStart w:id="235" w:name="_Toc499821539"/>
      <w:bookmarkStart w:id="236" w:name="_Toc144974535"/>
      <w:bookmarkStart w:id="237" w:name="_Toc499830082"/>
      <w:bookmarkStart w:id="238" w:name="_Toc152042343"/>
      <w:bookmarkStart w:id="239" w:name="_Toc227984036"/>
      <w:bookmarkStart w:id="240" w:name="_Toc152045567"/>
      <w:bookmarkStart w:id="241" w:name="_Toc269886774"/>
      <w:r>
        <w:rPr>
          <w:rFonts w:hint="eastAsia"/>
        </w:rPr>
        <w:t>7.1 定标方式</w:t>
      </w:r>
      <w:bookmarkEnd w:id="235"/>
      <w:bookmarkEnd w:id="236"/>
      <w:bookmarkEnd w:id="237"/>
      <w:bookmarkEnd w:id="238"/>
      <w:bookmarkEnd w:id="239"/>
      <w:bookmarkEnd w:id="240"/>
      <w:bookmarkEnd w:id="241"/>
    </w:p>
    <w:p>
      <w:pPr>
        <w:spacing w:line="400" w:lineRule="exact"/>
        <w:ind w:firstLine="42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pPr>
      <w:r>
        <w:rPr>
          <w:rFonts w:hint="eastAsia"/>
        </w:rPr>
        <w:t>排名第一的中标候选人放弃中标、因不可抗力提出不能履行合同，或者招标文件规定应当提交履约保证金而在规定的期限内未能提交的，招标人可以确定排名第二的中标候选人为中标人,以此类推。</w:t>
      </w:r>
    </w:p>
    <w:p>
      <w:pPr>
        <w:pStyle w:val="105"/>
      </w:pPr>
      <w:bookmarkStart w:id="242" w:name="_Toc227984037"/>
      <w:bookmarkStart w:id="243" w:name="_Toc499821540"/>
      <w:bookmarkStart w:id="244" w:name="_Toc144974536"/>
      <w:bookmarkStart w:id="245" w:name="_Toc152042344"/>
      <w:bookmarkStart w:id="246" w:name="_Toc499830083"/>
      <w:bookmarkStart w:id="247" w:name="_Toc152045568"/>
      <w:bookmarkStart w:id="248" w:name="_Toc269886775"/>
      <w:r>
        <w:rPr>
          <w:rFonts w:hint="eastAsia"/>
        </w:rPr>
        <w:t>7.2 中标通知</w:t>
      </w:r>
      <w:bookmarkEnd w:id="242"/>
      <w:bookmarkEnd w:id="243"/>
      <w:bookmarkEnd w:id="244"/>
      <w:bookmarkEnd w:id="245"/>
      <w:bookmarkEnd w:id="246"/>
      <w:bookmarkEnd w:id="247"/>
      <w:bookmarkEnd w:id="248"/>
    </w:p>
    <w:p>
      <w:pPr>
        <w:spacing w:line="400" w:lineRule="exact"/>
        <w:ind w:firstLine="420" w:firstLineChars="200"/>
      </w:pPr>
      <w:r>
        <w:rPr>
          <w:rFonts w:hint="eastAsia"/>
        </w:rPr>
        <w:t>在规定的投标有效期内，招标人以书面形式向中标人发出中标通知书，同时将中标结果通知未中标的投标人。</w:t>
      </w:r>
    </w:p>
    <w:p>
      <w:pPr>
        <w:pStyle w:val="105"/>
      </w:pPr>
      <w:bookmarkStart w:id="249" w:name="_Toc499821541"/>
      <w:bookmarkStart w:id="250" w:name="_Toc152045569"/>
      <w:bookmarkStart w:id="251" w:name="_Toc152042345"/>
      <w:bookmarkStart w:id="252" w:name="_Toc499830084"/>
      <w:bookmarkStart w:id="253" w:name="_Toc269886776"/>
      <w:bookmarkStart w:id="254" w:name="_Toc144974537"/>
      <w:bookmarkStart w:id="255" w:name="_Toc227984038"/>
      <w:r>
        <w:rPr>
          <w:rFonts w:hint="eastAsia"/>
        </w:rPr>
        <w:t>7.3 履约担保</w:t>
      </w:r>
      <w:bookmarkEnd w:id="249"/>
      <w:bookmarkEnd w:id="250"/>
      <w:bookmarkEnd w:id="251"/>
      <w:bookmarkEnd w:id="252"/>
      <w:bookmarkEnd w:id="253"/>
      <w:bookmarkEnd w:id="254"/>
      <w:bookmarkEnd w:id="255"/>
    </w:p>
    <w:p>
      <w:pPr>
        <w:spacing w:line="400" w:lineRule="exact"/>
        <w:ind w:firstLine="420" w:firstLineChars="200"/>
      </w:pPr>
      <w:r>
        <w:rPr>
          <w:rFonts w:hint="eastAsia"/>
        </w:rPr>
        <w:t>7.3.1在签订合同前，中标人应按投标人须知前附表规定的金额、担保形式和招标文件第四章“合同条款及格式”规定的履约担保格式向招标人提交履约担保。</w:t>
      </w:r>
    </w:p>
    <w:p>
      <w:pPr>
        <w:spacing w:line="400" w:lineRule="exact"/>
        <w:ind w:firstLine="420" w:firstLineChars="200"/>
      </w:pPr>
      <w:r>
        <w:rPr>
          <w:rFonts w:hint="eastAsia"/>
        </w:rPr>
        <w:t>7.3.2 中标人不能按要求提交履约担保的，视为放弃中标，其投标保证金不予退还，给招标人造成的损失超过投标保证金数额的，中标人还应当对超过部分予以赔偿。</w:t>
      </w:r>
    </w:p>
    <w:p>
      <w:pPr>
        <w:pStyle w:val="105"/>
      </w:pPr>
      <w:bookmarkStart w:id="256" w:name="_Toc152042346"/>
      <w:bookmarkStart w:id="257" w:name="_Toc227984039"/>
      <w:bookmarkStart w:id="258" w:name="_Toc499821542"/>
      <w:bookmarkStart w:id="259" w:name="_Toc499830085"/>
      <w:bookmarkStart w:id="260" w:name="_Toc144974538"/>
      <w:bookmarkStart w:id="261" w:name="_Toc152045570"/>
      <w:bookmarkStart w:id="262" w:name="_Toc269886777"/>
      <w:r>
        <w:rPr>
          <w:rFonts w:hint="eastAsia"/>
        </w:rPr>
        <w:t>7.4 签订合同</w:t>
      </w:r>
      <w:bookmarkEnd w:id="256"/>
      <w:bookmarkEnd w:id="257"/>
      <w:bookmarkEnd w:id="258"/>
      <w:bookmarkEnd w:id="259"/>
      <w:bookmarkEnd w:id="260"/>
      <w:bookmarkEnd w:id="261"/>
      <w:bookmarkEnd w:id="262"/>
    </w:p>
    <w:p>
      <w:pPr>
        <w:spacing w:line="400" w:lineRule="exact"/>
        <w:ind w:firstLine="420" w:firstLineChars="200"/>
      </w:pPr>
      <w:r>
        <w:rPr>
          <w:rFonts w:hint="eastAsia"/>
        </w:rPr>
        <w:t xml:space="preserve">7.4.1招标人和中标人应当在投标有效期内并在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400" w:lineRule="exact"/>
        <w:ind w:firstLine="420" w:firstLineChars="200"/>
      </w:pPr>
      <w:r>
        <w:rPr>
          <w:rFonts w:hint="eastAsia"/>
        </w:rPr>
        <w:t xml:space="preserve">7.4.2 发出中标通知书后，招标人无正当理由拒签合同的，招标人向中标人退还投标保证金；给中标人造成损失的，还应当赔偿损失。 </w:t>
      </w:r>
    </w:p>
    <w:p>
      <w:pPr>
        <w:pStyle w:val="95"/>
      </w:pPr>
      <w:bookmarkStart w:id="263" w:name="_Toc152045571"/>
      <w:bookmarkStart w:id="264" w:name="_Toc144974539"/>
      <w:bookmarkStart w:id="265" w:name="_Toc152042347"/>
      <w:bookmarkStart w:id="266" w:name="_Toc227984040"/>
      <w:bookmarkStart w:id="267" w:name="_Toc499830086"/>
      <w:bookmarkStart w:id="268" w:name="_Toc269886778"/>
      <w:bookmarkStart w:id="269" w:name="_Toc499821543"/>
      <w:r>
        <w:rPr>
          <w:rFonts w:hint="eastAsia"/>
        </w:rPr>
        <w:t>8. 重新招标和不再招标</w:t>
      </w:r>
      <w:bookmarkEnd w:id="263"/>
      <w:bookmarkEnd w:id="264"/>
      <w:bookmarkEnd w:id="265"/>
      <w:bookmarkEnd w:id="266"/>
      <w:bookmarkEnd w:id="267"/>
      <w:bookmarkEnd w:id="268"/>
      <w:bookmarkEnd w:id="269"/>
    </w:p>
    <w:p>
      <w:pPr>
        <w:pStyle w:val="105"/>
      </w:pPr>
      <w:bookmarkStart w:id="270" w:name="_Toc152042348"/>
      <w:bookmarkStart w:id="271" w:name="_Toc499821544"/>
      <w:bookmarkStart w:id="272" w:name="_Toc227984041"/>
      <w:bookmarkStart w:id="273" w:name="_Toc152045572"/>
      <w:bookmarkStart w:id="274" w:name="_Toc144974540"/>
      <w:bookmarkStart w:id="275" w:name="_Toc269886779"/>
      <w:bookmarkStart w:id="276" w:name="_Toc499830087"/>
      <w:r>
        <w:rPr>
          <w:rFonts w:hint="eastAsia"/>
        </w:rPr>
        <w:t>8.1 重新招标</w:t>
      </w:r>
      <w:bookmarkEnd w:id="270"/>
      <w:bookmarkEnd w:id="271"/>
      <w:bookmarkEnd w:id="272"/>
      <w:bookmarkEnd w:id="273"/>
      <w:bookmarkEnd w:id="274"/>
      <w:bookmarkEnd w:id="275"/>
      <w:bookmarkEnd w:id="276"/>
    </w:p>
    <w:p>
      <w:pPr>
        <w:spacing w:line="400" w:lineRule="exact"/>
        <w:ind w:firstLine="420" w:firstLineChars="200"/>
      </w:pPr>
      <w:r>
        <w:rPr>
          <w:rFonts w:hint="eastAsia"/>
        </w:rPr>
        <w:t>有下列情形之一的，招标人将重新招标：</w:t>
      </w:r>
    </w:p>
    <w:p>
      <w:pPr>
        <w:spacing w:line="400" w:lineRule="exact"/>
        <w:ind w:firstLine="359" w:firstLineChars="171"/>
      </w:pPr>
      <w:r>
        <w:rPr>
          <w:rFonts w:hint="eastAsia"/>
        </w:rPr>
        <w:t>（1）投标截止时间止，投标人少于3个的；</w:t>
      </w:r>
    </w:p>
    <w:p>
      <w:pPr>
        <w:spacing w:line="400" w:lineRule="exact"/>
        <w:ind w:firstLine="359" w:firstLineChars="171"/>
      </w:pPr>
      <w:r>
        <w:rPr>
          <w:rFonts w:hint="eastAsia"/>
        </w:rPr>
        <w:t>（2）经评标委员会评审后否决所有投标的；</w:t>
      </w:r>
    </w:p>
    <w:p>
      <w:pPr>
        <w:spacing w:line="400" w:lineRule="exact"/>
        <w:ind w:firstLine="359" w:firstLineChars="171"/>
      </w:pPr>
      <w:r>
        <w:rPr>
          <w:rFonts w:hint="eastAsia"/>
        </w:rPr>
        <w:t>（3）法律、法规规定的其他重新招标的情形。</w:t>
      </w:r>
    </w:p>
    <w:p>
      <w:pPr>
        <w:pStyle w:val="105"/>
      </w:pPr>
      <w:bookmarkStart w:id="277" w:name="_Toc269886780"/>
      <w:bookmarkStart w:id="278" w:name="_Toc152042349"/>
      <w:bookmarkStart w:id="279" w:name="_Toc152045573"/>
      <w:bookmarkStart w:id="280" w:name="_Toc227984042"/>
      <w:bookmarkStart w:id="281" w:name="_Toc499830088"/>
      <w:bookmarkStart w:id="282" w:name="_Toc144974541"/>
      <w:bookmarkStart w:id="283" w:name="_Toc499821545"/>
      <w:r>
        <w:rPr>
          <w:rFonts w:hint="eastAsia"/>
        </w:rPr>
        <w:t>8.2 不再招标</w:t>
      </w:r>
      <w:bookmarkEnd w:id="277"/>
      <w:bookmarkEnd w:id="278"/>
      <w:bookmarkEnd w:id="279"/>
      <w:bookmarkEnd w:id="280"/>
      <w:bookmarkEnd w:id="281"/>
      <w:bookmarkEnd w:id="282"/>
      <w:bookmarkEnd w:id="283"/>
    </w:p>
    <w:p>
      <w:pPr>
        <w:spacing w:line="400" w:lineRule="exact"/>
        <w:ind w:firstLine="420" w:firstLineChars="200"/>
      </w:pPr>
      <w:r>
        <w:rPr>
          <w:rFonts w:hint="eastAsia"/>
        </w:rPr>
        <w:t>重新招标后投标人仍少于3个或者所有投标被否决的，属于必须审批或核准的工程建设项目，经原审批或核准部门批准后不再进行招标。</w:t>
      </w:r>
    </w:p>
    <w:p>
      <w:pPr>
        <w:pStyle w:val="95"/>
      </w:pPr>
      <w:bookmarkStart w:id="284" w:name="_Toc499821546"/>
      <w:bookmarkStart w:id="285" w:name="_Toc152042350"/>
      <w:bookmarkStart w:id="286" w:name="_Toc499830089"/>
      <w:bookmarkStart w:id="287" w:name="_Toc152045574"/>
      <w:bookmarkStart w:id="288" w:name="_Toc269886781"/>
      <w:bookmarkStart w:id="289" w:name="_Toc227984043"/>
      <w:bookmarkStart w:id="290" w:name="_Toc144974542"/>
      <w:r>
        <w:rPr>
          <w:rFonts w:hint="eastAsia"/>
        </w:rPr>
        <w:t>9. 纪律和监督</w:t>
      </w:r>
      <w:bookmarkEnd w:id="284"/>
      <w:bookmarkEnd w:id="285"/>
      <w:bookmarkEnd w:id="286"/>
      <w:bookmarkEnd w:id="287"/>
      <w:bookmarkEnd w:id="288"/>
      <w:bookmarkEnd w:id="289"/>
      <w:bookmarkEnd w:id="290"/>
    </w:p>
    <w:p>
      <w:pPr>
        <w:pStyle w:val="105"/>
      </w:pPr>
      <w:bookmarkStart w:id="291" w:name="_Toc499830090"/>
      <w:bookmarkStart w:id="292" w:name="_Toc144974543"/>
      <w:bookmarkStart w:id="293" w:name="_Toc269886782"/>
      <w:bookmarkStart w:id="294" w:name="_Toc152045575"/>
      <w:bookmarkStart w:id="295" w:name="_Toc152042351"/>
      <w:bookmarkStart w:id="296" w:name="_Toc227984044"/>
      <w:bookmarkStart w:id="297" w:name="_Toc499821547"/>
      <w:r>
        <w:rPr>
          <w:rFonts w:hint="eastAsia"/>
        </w:rPr>
        <w:t>9.1 对招标人的纪律要求</w:t>
      </w:r>
      <w:bookmarkEnd w:id="291"/>
      <w:bookmarkEnd w:id="292"/>
      <w:bookmarkEnd w:id="293"/>
      <w:bookmarkEnd w:id="294"/>
      <w:bookmarkEnd w:id="295"/>
      <w:bookmarkEnd w:id="296"/>
      <w:bookmarkEnd w:id="297"/>
    </w:p>
    <w:p>
      <w:pPr>
        <w:spacing w:line="400" w:lineRule="exact"/>
        <w:ind w:firstLine="420" w:firstLineChars="200"/>
      </w:pPr>
      <w:r>
        <w:rPr>
          <w:rFonts w:hint="eastAsia"/>
        </w:rPr>
        <w:t>招标人不得泄漏招标投标活动中应当保密的情况和资料，不得与投标人串通损害国家利益、社会公共利益或者他人合法权益。</w:t>
      </w:r>
    </w:p>
    <w:p>
      <w:pPr>
        <w:pStyle w:val="105"/>
      </w:pPr>
      <w:bookmarkStart w:id="298" w:name="_Toc152045576"/>
      <w:bookmarkStart w:id="299" w:name="_Toc499821548"/>
      <w:bookmarkStart w:id="300" w:name="_Toc269886783"/>
      <w:bookmarkStart w:id="301" w:name="_Toc144974544"/>
      <w:bookmarkStart w:id="302" w:name="_Toc152042352"/>
      <w:bookmarkStart w:id="303" w:name="_Toc227984045"/>
      <w:bookmarkStart w:id="304" w:name="_Toc499830091"/>
      <w:r>
        <w:rPr>
          <w:rFonts w:hint="eastAsia"/>
        </w:rPr>
        <w:t>9.2 对投标人的纪律要求</w:t>
      </w:r>
      <w:bookmarkEnd w:id="298"/>
      <w:bookmarkEnd w:id="299"/>
      <w:bookmarkEnd w:id="300"/>
      <w:bookmarkEnd w:id="301"/>
      <w:bookmarkEnd w:id="302"/>
      <w:bookmarkEnd w:id="303"/>
      <w:bookmarkEnd w:id="304"/>
    </w:p>
    <w:p>
      <w:pPr>
        <w:spacing w:line="4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05"/>
      </w:pPr>
      <w:bookmarkStart w:id="305" w:name="_Toc269886784"/>
      <w:bookmarkStart w:id="306" w:name="_Toc152045577"/>
      <w:bookmarkStart w:id="307" w:name="_Toc152042353"/>
      <w:bookmarkStart w:id="308" w:name="_Toc227984046"/>
      <w:bookmarkStart w:id="309" w:name="_Toc144974545"/>
      <w:bookmarkStart w:id="310" w:name="_Toc499830092"/>
      <w:bookmarkStart w:id="311" w:name="_Toc499821549"/>
      <w:r>
        <w:rPr>
          <w:rFonts w:hint="eastAsia"/>
        </w:rPr>
        <w:t>9.3 对评标委员会成员的纪律要求</w:t>
      </w:r>
      <w:bookmarkEnd w:id="305"/>
      <w:bookmarkEnd w:id="306"/>
      <w:bookmarkEnd w:id="307"/>
      <w:bookmarkEnd w:id="308"/>
      <w:bookmarkEnd w:id="309"/>
      <w:bookmarkEnd w:id="310"/>
      <w:bookmarkEnd w:id="311"/>
    </w:p>
    <w:p>
      <w:pPr>
        <w:spacing w:line="400" w:lineRule="exact"/>
        <w:ind w:firstLine="42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p>
    <w:p>
      <w:pPr>
        <w:pStyle w:val="105"/>
      </w:pPr>
      <w:bookmarkStart w:id="312" w:name="_Toc269886785"/>
      <w:bookmarkStart w:id="313" w:name="_Toc152042354"/>
      <w:bookmarkStart w:id="314" w:name="_Toc227984047"/>
      <w:bookmarkStart w:id="315" w:name="_Toc499830093"/>
      <w:bookmarkStart w:id="316" w:name="_Toc499821550"/>
      <w:bookmarkStart w:id="317" w:name="_Toc152045578"/>
      <w:bookmarkStart w:id="318" w:name="_Toc144974546"/>
      <w:r>
        <w:rPr>
          <w:rFonts w:hint="eastAsia"/>
        </w:rPr>
        <w:t>9.4 对与评标活动有关的工作人员的纪律要求</w:t>
      </w:r>
      <w:bookmarkEnd w:id="312"/>
      <w:bookmarkEnd w:id="313"/>
      <w:bookmarkEnd w:id="314"/>
      <w:bookmarkEnd w:id="315"/>
      <w:bookmarkEnd w:id="316"/>
      <w:bookmarkEnd w:id="317"/>
    </w:p>
    <w:p>
      <w:pPr>
        <w:spacing w:line="400" w:lineRule="exact"/>
        <w:ind w:firstLine="420" w:firstLineChars="200"/>
      </w:pPr>
      <w:bookmarkStart w:id="319" w:name="_Toc152042355"/>
      <w:r>
        <w:rPr>
          <w:rFonts w:hint="eastAsia"/>
        </w:rPr>
        <w:t>与评标活动有关的工作人员不得收受他人的财物或者其他好处，不得向他人透漏对投标文件的评审和比较、中标候选人的推荐情况以及评标有关的其他情况。</w:t>
      </w:r>
      <w:bookmarkEnd w:id="319"/>
    </w:p>
    <w:p>
      <w:pPr>
        <w:pStyle w:val="105"/>
      </w:pPr>
      <w:bookmarkStart w:id="320" w:name="_Toc227984048"/>
      <w:bookmarkStart w:id="321" w:name="_Toc269886786"/>
      <w:bookmarkStart w:id="322" w:name="_Toc499830094"/>
      <w:bookmarkStart w:id="323" w:name="_Toc152042356"/>
      <w:bookmarkStart w:id="324" w:name="_Toc499821551"/>
      <w:bookmarkStart w:id="325" w:name="_Toc152045579"/>
      <w:r>
        <w:rPr>
          <w:rFonts w:hint="eastAsia"/>
        </w:rPr>
        <w:t>9.5 投诉</w:t>
      </w:r>
      <w:bookmarkEnd w:id="318"/>
      <w:bookmarkEnd w:id="320"/>
      <w:bookmarkEnd w:id="321"/>
      <w:bookmarkEnd w:id="322"/>
      <w:bookmarkEnd w:id="323"/>
      <w:bookmarkEnd w:id="324"/>
      <w:bookmarkEnd w:id="325"/>
    </w:p>
    <w:p>
      <w:pPr>
        <w:spacing w:line="400" w:lineRule="exact"/>
        <w:ind w:firstLine="420" w:firstLineChars="200"/>
      </w:pPr>
      <w:r>
        <w:rPr>
          <w:rFonts w:hint="eastAsia"/>
        </w:rPr>
        <w:t>投标人和其他利害关系人认为本次招标活动违反法律、法规和规章规定的，有权向有关行政监督部门投诉。</w:t>
      </w:r>
    </w:p>
    <w:p>
      <w:pPr>
        <w:pStyle w:val="95"/>
      </w:pPr>
      <w:bookmarkStart w:id="326" w:name="_Toc269886787"/>
      <w:bookmarkStart w:id="327" w:name="_Toc144974547"/>
      <w:bookmarkStart w:id="328" w:name="_Toc152045580"/>
      <w:bookmarkStart w:id="329" w:name="_Toc227984049"/>
      <w:bookmarkStart w:id="330" w:name="_Toc499821552"/>
      <w:bookmarkStart w:id="331" w:name="_Toc152042357"/>
      <w:bookmarkStart w:id="332" w:name="_Toc499830095"/>
      <w:r>
        <w:rPr>
          <w:rFonts w:hint="eastAsia"/>
        </w:rPr>
        <w:t>10. 需要补充的其他内容</w:t>
      </w:r>
      <w:bookmarkEnd w:id="326"/>
      <w:bookmarkEnd w:id="327"/>
      <w:bookmarkEnd w:id="328"/>
      <w:bookmarkEnd w:id="329"/>
      <w:bookmarkEnd w:id="330"/>
      <w:bookmarkEnd w:id="331"/>
      <w:bookmarkEnd w:id="332"/>
    </w:p>
    <w:p>
      <w:pPr>
        <w:spacing w:line="400" w:lineRule="exact"/>
        <w:ind w:firstLine="420" w:firstLineChars="200"/>
      </w:pPr>
      <w:r>
        <w:rPr>
          <w:rFonts w:hint="eastAsia"/>
        </w:rPr>
        <w:t>需要补充的其他内容：见投标人须知前附表。</w:t>
      </w:r>
    </w:p>
    <w:p>
      <w:pPr>
        <w:pStyle w:val="2"/>
        <w:spacing w:before="120" w:after="120" w:line="400" w:lineRule="exact"/>
        <w:jc w:val="center"/>
        <w:rPr>
          <w:rFonts w:ascii="黑体" w:hAnsi="黑体" w:eastAsia="黑体"/>
          <w:b w:val="0"/>
          <w:sz w:val="32"/>
        </w:rPr>
      </w:pPr>
      <w:r>
        <w:rPr>
          <w:rFonts w:ascii="宋体" w:hAnsi="宋体"/>
          <w:szCs w:val="21"/>
          <w:u w:val="single" w:color="000000"/>
        </w:rPr>
        <w:br w:type="page"/>
      </w:r>
      <w:bookmarkStart w:id="333" w:name="_Toc374003482"/>
      <w:bookmarkStart w:id="334" w:name="_Toc499830097"/>
      <w:r>
        <w:rPr>
          <w:rFonts w:hint="eastAsia" w:ascii="黑体" w:hAnsi="黑体" w:eastAsia="黑体"/>
          <w:b w:val="0"/>
          <w:sz w:val="32"/>
        </w:rPr>
        <w:t>第三章 评标办法</w:t>
      </w:r>
      <w:bookmarkEnd w:id="333"/>
      <w:bookmarkEnd w:id="334"/>
    </w:p>
    <w:p>
      <w:pPr>
        <w:pStyle w:val="95"/>
        <w:ind w:firstLine="700" w:firstLineChars="250"/>
      </w:pPr>
      <w:bookmarkStart w:id="335" w:name="_Toc227984051"/>
      <w:bookmarkStart w:id="336" w:name="_Toc152045588"/>
      <w:bookmarkStart w:id="337" w:name="_Toc499821555"/>
      <w:bookmarkStart w:id="338" w:name="_Toc152042365"/>
      <w:bookmarkStart w:id="339" w:name="_Toc374003483"/>
      <w:bookmarkStart w:id="340" w:name="_Toc499830098"/>
      <w:bookmarkStart w:id="341" w:name="_Toc144974555"/>
      <w:r>
        <w:rPr>
          <w:rFonts w:hint="eastAsia"/>
        </w:rPr>
        <w:t>评标办法前附表</w:t>
      </w:r>
      <w:bookmarkEnd w:id="335"/>
      <w:bookmarkEnd w:id="336"/>
      <w:bookmarkEnd w:id="337"/>
      <w:bookmarkEnd w:id="338"/>
      <w:bookmarkEnd w:id="339"/>
      <w:bookmarkEnd w:id="340"/>
      <w:bookmarkEnd w:id="341"/>
    </w:p>
    <w:p>
      <w:pPr>
        <w:ind w:firstLine="735" w:firstLineChars="350"/>
      </w:pPr>
      <w:bookmarkStart w:id="342" w:name="_Toc227984052"/>
      <w:r>
        <w:rPr>
          <w:rFonts w:hint="eastAsia"/>
        </w:rPr>
        <w:t>评标办法前附表与本章正文内容相抵触的，以正文为准。</w:t>
      </w:r>
      <w:bookmarkEnd w:id="342"/>
    </w:p>
    <w:p>
      <w:pPr>
        <w:ind w:firstLine="480" w:firstLineChars="200"/>
        <w:rPr>
          <w:rFonts w:ascii="宋体" w:hAnsi="宋体"/>
          <w:sz w:val="24"/>
        </w:rPr>
      </w:pPr>
      <w:r>
        <w:rPr>
          <w:rFonts w:hint="eastAsia" w:ascii="宋体" w:hAnsi="宋体"/>
          <w:sz w:val="24"/>
        </w:rPr>
        <w:t>本项目采用综合评分法，总分为100分，评标结果按评审后得分由高到低顺序排列；得分相同的，按投标报价由低到高顺序排列；得分且投标报价相同的，按技术指标优劣顺序排列；由评标委员会推荐1名中标候选人。具体打分办法如下：</w:t>
      </w:r>
    </w:p>
    <w:tbl>
      <w:tblPr>
        <w:tblStyle w:val="38"/>
        <w:tblpPr w:leftFromText="180" w:rightFromText="180" w:vertAnchor="text" w:horzAnchor="page" w:tblpX="1530" w:tblpY="404"/>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85"/>
        <w:gridCol w:w="6295"/>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gridSpan w:val="2"/>
          </w:tcPr>
          <w:p>
            <w:pPr>
              <w:jc w:val="center"/>
              <w:rPr>
                <w:rFonts w:ascii="宋体" w:hAnsi="宋体"/>
                <w:b/>
                <w:szCs w:val="21"/>
              </w:rPr>
            </w:pPr>
            <w:r>
              <w:rPr>
                <w:rFonts w:hint="eastAsia" w:ascii="宋体" w:hAnsi="宋体"/>
                <w:b/>
                <w:szCs w:val="21"/>
              </w:rPr>
              <w:t>序号</w:t>
            </w:r>
          </w:p>
        </w:tc>
        <w:tc>
          <w:tcPr>
            <w:tcW w:w="6295" w:type="dxa"/>
          </w:tcPr>
          <w:p>
            <w:pPr>
              <w:jc w:val="center"/>
              <w:rPr>
                <w:rFonts w:ascii="宋体" w:hAnsi="宋体"/>
                <w:b/>
                <w:szCs w:val="21"/>
              </w:rPr>
            </w:pPr>
            <w:r>
              <w:rPr>
                <w:rFonts w:hint="eastAsia" w:ascii="宋体" w:hAnsi="宋体"/>
                <w:b/>
                <w:szCs w:val="21"/>
              </w:rPr>
              <w:t>打分办法</w:t>
            </w:r>
          </w:p>
        </w:tc>
        <w:tc>
          <w:tcPr>
            <w:tcW w:w="673" w:type="dxa"/>
            <w:vAlign w:val="center"/>
          </w:tcPr>
          <w:p>
            <w:pPr>
              <w:jc w:val="center"/>
              <w:rPr>
                <w:rFonts w:ascii="宋体" w:hAnsi="宋体"/>
                <w:b/>
                <w:szCs w:val="21"/>
              </w:rPr>
            </w:pPr>
            <w:r>
              <w:rPr>
                <w:rFonts w:hint="eastAsia" w:ascii="宋体" w:hAnsi="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929" w:type="dxa"/>
            <w:gridSpan w:val="2"/>
            <w:vAlign w:val="center"/>
          </w:tcPr>
          <w:p>
            <w:pPr>
              <w:jc w:val="center"/>
              <w:rPr>
                <w:rFonts w:ascii="宋体" w:hAnsi="宋体"/>
                <w:szCs w:val="21"/>
              </w:rPr>
            </w:pPr>
            <w:r>
              <w:rPr>
                <w:rFonts w:hint="eastAsia" w:ascii="Calibri" w:hAnsi="Calibri"/>
                <w:b/>
                <w:szCs w:val="21"/>
              </w:rPr>
              <w:t>（一）价格分</w:t>
            </w:r>
            <w:r>
              <w:rPr>
                <w:rFonts w:hint="eastAsia" w:ascii="宋体" w:hAnsi="宋体"/>
                <w:b/>
                <w:szCs w:val="21"/>
              </w:rPr>
              <w:t>（50分）</w:t>
            </w:r>
          </w:p>
        </w:tc>
        <w:tc>
          <w:tcPr>
            <w:tcW w:w="6295" w:type="dxa"/>
            <w:vAlign w:val="center"/>
          </w:tcPr>
          <w:p>
            <w:pPr>
              <w:jc w:val="left"/>
              <w:rPr>
                <w:rFonts w:ascii="Calibri" w:hAnsi="Calibri"/>
                <w:szCs w:val="21"/>
              </w:rPr>
            </w:pPr>
            <w:r>
              <w:rPr>
                <w:rFonts w:hint="eastAsia" w:ascii="Calibri" w:hAnsi="Calibri"/>
                <w:szCs w:val="21"/>
              </w:rPr>
              <w:t>价格分采用低价优先法计算，即满足招标文件要求且报价最低的供应商报价为评标基准价，其价格分为满分50分，其它投标供应商的价格分统一按照以下公式计算：投标报价得分=(评标基准价/该投标供应商的投标报价)×50分。（保留两位小数）</w:t>
            </w:r>
          </w:p>
        </w:tc>
        <w:tc>
          <w:tcPr>
            <w:tcW w:w="673" w:type="dxa"/>
            <w:vAlign w:val="center"/>
          </w:tcPr>
          <w:p>
            <w:pPr>
              <w:jc w:val="center"/>
              <w:rPr>
                <w:rFonts w:ascii="宋体" w:hAnsi="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344" w:type="dxa"/>
            <w:vMerge w:val="restart"/>
            <w:vAlign w:val="center"/>
          </w:tcPr>
          <w:p>
            <w:pPr>
              <w:jc w:val="center"/>
              <w:rPr>
                <w:rFonts w:ascii="Calibri" w:hAnsi="Calibri"/>
                <w:b/>
                <w:szCs w:val="21"/>
              </w:rPr>
            </w:pPr>
            <w:r>
              <w:rPr>
                <w:rFonts w:hint="eastAsia" w:ascii="宋体" w:hAnsi="宋体"/>
                <w:b/>
                <w:szCs w:val="21"/>
              </w:rPr>
              <w:t>（</w:t>
            </w:r>
            <w:r>
              <w:rPr>
                <w:rFonts w:hint="eastAsia" w:ascii="Calibri" w:hAnsi="Calibri"/>
                <w:b/>
                <w:szCs w:val="21"/>
              </w:rPr>
              <w:t>二）技术响应及实施方案（24分）</w:t>
            </w:r>
          </w:p>
        </w:tc>
        <w:tc>
          <w:tcPr>
            <w:tcW w:w="585" w:type="dxa"/>
            <w:vAlign w:val="center"/>
          </w:tcPr>
          <w:p>
            <w:pPr>
              <w:jc w:val="center"/>
              <w:rPr>
                <w:rFonts w:ascii="宋体" w:hAnsi="宋体"/>
                <w:b/>
                <w:szCs w:val="21"/>
              </w:rPr>
            </w:pPr>
            <w:r>
              <w:rPr>
                <w:rFonts w:hint="eastAsia" w:ascii="宋体" w:hAnsi="宋体"/>
                <w:b/>
                <w:szCs w:val="21"/>
              </w:rPr>
              <w:t>2.1</w:t>
            </w:r>
          </w:p>
        </w:tc>
        <w:tc>
          <w:tcPr>
            <w:tcW w:w="6295" w:type="dxa"/>
            <w:vAlign w:val="center"/>
          </w:tcPr>
          <w:p>
            <w:pPr>
              <w:jc w:val="left"/>
              <w:rPr>
                <w:rFonts w:ascii="Calibri" w:hAnsi="Calibri"/>
                <w:szCs w:val="21"/>
              </w:rPr>
            </w:pPr>
            <w:r>
              <w:rPr>
                <w:rFonts w:hint="eastAsia" w:ascii="Calibri" w:hAnsi="Calibri"/>
                <w:b/>
                <w:bCs/>
                <w:szCs w:val="21"/>
              </w:rPr>
              <w:t>项目实施方案（7分）。</w:t>
            </w:r>
            <w:r>
              <w:rPr>
                <w:rFonts w:hint="eastAsia" w:ascii="Calibri" w:hAnsi="Calibri"/>
                <w:szCs w:val="21"/>
              </w:rPr>
              <w:t>评委根据投标人对本项目的总体认识、组织部署、技术保证措施、工作流程、质量管理、项目人员配置计划等的合理性、科学性等进行比较评分（思路清晰、定位准确、理解透彻、全面者得7分、思路基本清楚者得4分、方案简单、粗糙者得1分，无不得分）。</w:t>
            </w:r>
          </w:p>
        </w:tc>
        <w:tc>
          <w:tcPr>
            <w:tcW w:w="673" w:type="dxa"/>
            <w:vAlign w:val="center"/>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344" w:type="dxa"/>
            <w:vMerge w:val="continue"/>
            <w:vAlign w:val="center"/>
          </w:tcPr>
          <w:p>
            <w:pPr>
              <w:jc w:val="center"/>
              <w:rPr>
                <w:rFonts w:ascii="宋体" w:hAnsi="宋体"/>
                <w:b/>
                <w:szCs w:val="21"/>
              </w:rPr>
            </w:pPr>
          </w:p>
        </w:tc>
        <w:tc>
          <w:tcPr>
            <w:tcW w:w="585" w:type="dxa"/>
            <w:vAlign w:val="center"/>
          </w:tcPr>
          <w:p>
            <w:pPr>
              <w:jc w:val="center"/>
              <w:rPr>
                <w:rFonts w:ascii="宋体" w:hAnsi="宋体"/>
                <w:b/>
                <w:szCs w:val="21"/>
              </w:rPr>
            </w:pPr>
            <w:r>
              <w:rPr>
                <w:rFonts w:hint="eastAsia" w:ascii="宋体" w:hAnsi="宋体"/>
                <w:b/>
                <w:szCs w:val="21"/>
              </w:rPr>
              <w:t>2.2</w:t>
            </w:r>
          </w:p>
        </w:tc>
        <w:tc>
          <w:tcPr>
            <w:tcW w:w="6295" w:type="dxa"/>
            <w:vAlign w:val="center"/>
          </w:tcPr>
          <w:p>
            <w:pPr>
              <w:jc w:val="left"/>
              <w:rPr>
                <w:rFonts w:ascii="Calibri" w:hAnsi="Calibri"/>
                <w:szCs w:val="21"/>
              </w:rPr>
            </w:pPr>
            <w:r>
              <w:rPr>
                <w:rFonts w:hint="eastAsia" w:ascii="Calibri" w:hAnsi="Calibri"/>
                <w:b/>
                <w:bCs/>
                <w:szCs w:val="21"/>
              </w:rPr>
              <w:t>项目进度计划（5分）。</w:t>
            </w:r>
            <w:r>
              <w:rPr>
                <w:rFonts w:hint="eastAsia" w:ascii="Calibri" w:hAnsi="Calibri"/>
                <w:szCs w:val="21"/>
              </w:rPr>
              <w:t>项目进度计划和各阶段进度计划及保证措施（思路清晰、定位准确、理解透彻、全面者得5分、思路基本清楚者得3分、方案简单、粗糙者得1分，无不得分）</w:t>
            </w:r>
          </w:p>
        </w:tc>
        <w:tc>
          <w:tcPr>
            <w:tcW w:w="673" w:type="dxa"/>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344" w:type="dxa"/>
            <w:vMerge w:val="continue"/>
            <w:vAlign w:val="center"/>
          </w:tcPr>
          <w:p>
            <w:pPr>
              <w:jc w:val="center"/>
              <w:rPr>
                <w:rFonts w:ascii="宋体" w:hAnsi="宋体"/>
                <w:b/>
                <w:szCs w:val="21"/>
              </w:rPr>
            </w:pPr>
          </w:p>
        </w:tc>
        <w:tc>
          <w:tcPr>
            <w:tcW w:w="585" w:type="dxa"/>
            <w:vAlign w:val="center"/>
          </w:tcPr>
          <w:p>
            <w:pPr>
              <w:jc w:val="center"/>
              <w:rPr>
                <w:rFonts w:ascii="宋体" w:hAnsi="宋体"/>
                <w:b/>
                <w:szCs w:val="21"/>
              </w:rPr>
            </w:pPr>
            <w:r>
              <w:rPr>
                <w:rFonts w:hint="eastAsia" w:ascii="宋体" w:hAnsi="宋体"/>
                <w:b/>
                <w:szCs w:val="21"/>
              </w:rPr>
              <w:t>2.3</w:t>
            </w:r>
          </w:p>
        </w:tc>
        <w:tc>
          <w:tcPr>
            <w:tcW w:w="6295" w:type="dxa"/>
            <w:vAlign w:val="center"/>
          </w:tcPr>
          <w:p>
            <w:pPr>
              <w:jc w:val="left"/>
              <w:rPr>
                <w:rFonts w:ascii="Calibri" w:hAnsi="Calibri"/>
                <w:szCs w:val="21"/>
              </w:rPr>
            </w:pPr>
            <w:r>
              <w:rPr>
                <w:rFonts w:hint="eastAsia" w:ascii="Calibri" w:hAnsi="Calibri"/>
                <w:b/>
                <w:bCs/>
                <w:szCs w:val="21"/>
              </w:rPr>
              <w:t>质量保证措施（5分）。</w:t>
            </w:r>
            <w:r>
              <w:rPr>
                <w:rFonts w:hint="eastAsia" w:ascii="Calibri" w:hAnsi="Calibri"/>
                <w:szCs w:val="21"/>
              </w:rPr>
              <w:t>评委根据投标人提供的质量保证措施、安全管理计划、应急预案及突发事件处理措施进行评分（思路清晰、定位准确、理解透彻、全面者得5分、思路基本清楚者得3分、方案简单、粗糙者得1分，无不得分）</w:t>
            </w:r>
          </w:p>
        </w:tc>
        <w:tc>
          <w:tcPr>
            <w:tcW w:w="673" w:type="dxa"/>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44" w:type="dxa"/>
            <w:vMerge w:val="continue"/>
            <w:vAlign w:val="center"/>
          </w:tcPr>
          <w:p>
            <w:pPr>
              <w:jc w:val="center"/>
              <w:rPr>
                <w:rFonts w:ascii="宋体" w:hAnsi="宋体"/>
                <w:b/>
                <w:szCs w:val="21"/>
              </w:rPr>
            </w:pPr>
          </w:p>
        </w:tc>
        <w:tc>
          <w:tcPr>
            <w:tcW w:w="585" w:type="dxa"/>
            <w:vAlign w:val="center"/>
          </w:tcPr>
          <w:p>
            <w:pPr>
              <w:jc w:val="center"/>
              <w:rPr>
                <w:rFonts w:ascii="宋体" w:hAnsi="宋体"/>
                <w:b/>
                <w:szCs w:val="21"/>
              </w:rPr>
            </w:pPr>
            <w:r>
              <w:rPr>
                <w:rFonts w:hint="eastAsia" w:ascii="宋体" w:hAnsi="宋体"/>
                <w:b/>
                <w:szCs w:val="21"/>
              </w:rPr>
              <w:t>2.4</w:t>
            </w:r>
          </w:p>
        </w:tc>
        <w:tc>
          <w:tcPr>
            <w:tcW w:w="6295" w:type="dxa"/>
            <w:vAlign w:val="center"/>
          </w:tcPr>
          <w:p>
            <w:pPr>
              <w:spacing w:line="360" w:lineRule="auto"/>
              <w:rPr>
                <w:b/>
                <w:bCs/>
              </w:rPr>
            </w:pPr>
            <w:r>
              <w:rPr>
                <w:rFonts w:hint="eastAsia" w:ascii="宋体" w:hAnsi="宋体" w:cs="宋体"/>
                <w:b/>
                <w:bCs/>
                <w:szCs w:val="21"/>
              </w:rPr>
              <w:t>后期管养措施（7分）。</w:t>
            </w:r>
            <w:r>
              <w:rPr>
                <w:rFonts w:hint="eastAsia" w:ascii="宋体" w:hAnsi="宋体" w:cs="宋体"/>
                <w:szCs w:val="21"/>
              </w:rPr>
              <w:t>两年内对修剪后的树木进行管养的工作安排，维护方案完善可行且合理得当得7分，对修剪后的树木进行管养的工作安排，维护方案不够全面、详细，基本满足项目需求得4分，对修剪后的树木进行管养的工作安排，维护方案不够全面、详细，基本满足项目需求一般得1分。</w:t>
            </w:r>
          </w:p>
        </w:tc>
        <w:tc>
          <w:tcPr>
            <w:tcW w:w="673" w:type="dxa"/>
            <w:vAlign w:val="center"/>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44" w:type="dxa"/>
            <w:vMerge w:val="restart"/>
            <w:vAlign w:val="center"/>
          </w:tcPr>
          <w:p>
            <w:pPr>
              <w:jc w:val="center"/>
              <w:rPr>
                <w:b/>
                <w:bCs/>
              </w:rPr>
            </w:pPr>
            <w:r>
              <w:rPr>
                <w:rFonts w:hint="eastAsia"/>
                <w:b/>
                <w:bCs/>
              </w:rPr>
              <w:t>（三）综合能力（16分）</w:t>
            </w:r>
          </w:p>
        </w:tc>
        <w:tc>
          <w:tcPr>
            <w:tcW w:w="585" w:type="dxa"/>
            <w:vAlign w:val="center"/>
          </w:tcPr>
          <w:p>
            <w:pPr>
              <w:jc w:val="center"/>
              <w:rPr>
                <w:b/>
                <w:bCs/>
              </w:rPr>
            </w:pPr>
            <w:r>
              <w:rPr>
                <w:rFonts w:hint="eastAsia"/>
                <w:b/>
                <w:bCs/>
              </w:rPr>
              <w:t>3.1</w:t>
            </w:r>
          </w:p>
        </w:tc>
        <w:tc>
          <w:tcPr>
            <w:tcW w:w="6295" w:type="dxa"/>
            <w:vAlign w:val="center"/>
          </w:tcPr>
          <w:p>
            <w:pPr>
              <w:jc w:val="left"/>
              <w:rPr>
                <w:rFonts w:ascii="Calibri" w:hAnsi="Calibri"/>
                <w:szCs w:val="21"/>
              </w:rPr>
            </w:pPr>
            <w:r>
              <w:rPr>
                <w:rFonts w:hint="eastAsia" w:ascii="Calibri" w:hAnsi="Calibri"/>
                <w:szCs w:val="21"/>
              </w:rPr>
              <w:t>（1）项目负责人具体有园林绿化初级职称的得2分；具有园林绿化中级及以上职称或技师及以上的得4分。提供职称证书复印件及公司为其缴纳近3个月社保证明并加盖公章。</w:t>
            </w:r>
          </w:p>
          <w:p>
            <w:pPr>
              <w:jc w:val="left"/>
            </w:pPr>
            <w:r>
              <w:rPr>
                <w:rFonts w:hint="eastAsia" w:ascii="Calibri" w:hAnsi="Calibri"/>
                <w:szCs w:val="21"/>
              </w:rPr>
              <w:t>（2）企业拥有中级以上技术工种人员1-3人、</w:t>
            </w:r>
            <w:r>
              <w:rPr>
                <w:rFonts w:ascii="Calibri" w:hAnsi="Calibri"/>
                <w:szCs w:val="21"/>
              </w:rPr>
              <w:t>4</w:t>
            </w:r>
            <w:r>
              <w:rPr>
                <w:rFonts w:hint="eastAsia" w:ascii="Calibri" w:hAnsi="Calibri"/>
                <w:szCs w:val="21"/>
              </w:rPr>
              <w:t>-5人、6人及以上的分别得1分、2分及4分，提供职称证书复印件及公司为其缴纳近3个月社保证明并加盖公章。</w:t>
            </w:r>
          </w:p>
        </w:tc>
        <w:tc>
          <w:tcPr>
            <w:tcW w:w="673" w:type="dxa"/>
            <w:vMerge w:val="restart"/>
            <w:vAlign w:val="center"/>
          </w:tcPr>
          <w:p>
            <w:pPr>
              <w:jc w:val="center"/>
              <w:rPr>
                <w:rFonts w:ascii="宋体" w:hAnsi="宋体"/>
                <w:szCs w:val="21"/>
              </w:rPr>
            </w:pPr>
            <w:r>
              <w:rPr>
                <w:rFonts w:hint="eastAsia"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44" w:type="dxa"/>
            <w:vMerge w:val="continue"/>
            <w:vAlign w:val="center"/>
          </w:tcPr>
          <w:p>
            <w:pPr>
              <w:jc w:val="center"/>
            </w:pPr>
          </w:p>
        </w:tc>
        <w:tc>
          <w:tcPr>
            <w:tcW w:w="585" w:type="dxa"/>
            <w:vAlign w:val="center"/>
          </w:tcPr>
          <w:p>
            <w:pPr>
              <w:jc w:val="center"/>
              <w:rPr>
                <w:b/>
                <w:bCs/>
              </w:rPr>
            </w:pPr>
            <w:r>
              <w:rPr>
                <w:rFonts w:hint="eastAsia"/>
                <w:b/>
                <w:bCs/>
              </w:rPr>
              <w:t>3.2</w:t>
            </w:r>
          </w:p>
        </w:tc>
        <w:tc>
          <w:tcPr>
            <w:tcW w:w="6295" w:type="dxa"/>
            <w:vAlign w:val="center"/>
          </w:tcPr>
          <w:p>
            <w:pPr>
              <w:jc w:val="left"/>
              <w:rPr>
                <w:b/>
                <w:bCs/>
              </w:rPr>
            </w:pPr>
            <w:r>
              <w:rPr>
                <w:rFonts w:hint="eastAsia" w:ascii="宋体" w:hAnsi="宋体" w:cs="宋体"/>
                <w:szCs w:val="21"/>
              </w:rPr>
              <w:t>企业自身拥有登高作业车、清运卡车、洒水车、小型枝条粉碎机，每提供一样得2分，总共8分</w:t>
            </w:r>
            <w:r>
              <w:rPr>
                <w:rFonts w:hint="eastAsia" w:ascii="宋体" w:hAnsi="宋体" w:cs="宋体"/>
                <w:b/>
                <w:bCs/>
                <w:szCs w:val="21"/>
              </w:rPr>
              <w:t>（需提供买入发票或车辆登记证的复印件加盖公章，予以证明）</w:t>
            </w:r>
          </w:p>
        </w:tc>
        <w:tc>
          <w:tcPr>
            <w:tcW w:w="67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929" w:type="dxa"/>
            <w:gridSpan w:val="2"/>
            <w:vAlign w:val="center"/>
          </w:tcPr>
          <w:p>
            <w:pPr>
              <w:spacing w:line="360" w:lineRule="auto"/>
              <w:jc w:val="center"/>
              <w:rPr>
                <w:b/>
                <w:bCs/>
              </w:rPr>
            </w:pPr>
            <w:r>
              <w:rPr>
                <w:rFonts w:hint="eastAsia" w:ascii="宋体" w:hAnsi="宋体"/>
                <w:b/>
                <w:szCs w:val="21"/>
              </w:rPr>
              <w:t>（三）</w:t>
            </w:r>
            <w:r>
              <w:rPr>
                <w:rFonts w:hint="eastAsia"/>
                <w:b/>
                <w:bCs/>
              </w:rPr>
              <w:t>业绩</w:t>
            </w:r>
          </w:p>
          <w:p>
            <w:pPr>
              <w:jc w:val="center"/>
              <w:rPr>
                <w:rFonts w:ascii="宋体" w:hAnsi="宋体"/>
                <w:b/>
                <w:szCs w:val="21"/>
              </w:rPr>
            </w:pPr>
            <w:r>
              <w:rPr>
                <w:rFonts w:hint="eastAsia"/>
                <w:b/>
                <w:bCs/>
              </w:rPr>
              <w:t>（10分）</w:t>
            </w:r>
          </w:p>
        </w:tc>
        <w:tc>
          <w:tcPr>
            <w:tcW w:w="6295" w:type="dxa"/>
            <w:vAlign w:val="center"/>
          </w:tcPr>
          <w:p>
            <w:pPr>
              <w:jc w:val="left"/>
              <w:rPr>
                <w:b/>
                <w:bCs/>
              </w:rPr>
            </w:pPr>
            <w:r>
              <w:rPr>
                <w:rFonts w:hint="eastAsia"/>
              </w:rPr>
              <w:t>投标单位自2018年11月1日以来完成过类似工程（需提供施工合同、中标通知书，时间以竣工验收合格时间为准）每提供一个得2.5分，提供不全不得分。</w:t>
            </w:r>
          </w:p>
        </w:tc>
        <w:tc>
          <w:tcPr>
            <w:tcW w:w="673" w:type="dxa"/>
            <w:vAlign w:val="center"/>
          </w:tcPr>
          <w:p>
            <w:pPr>
              <w:jc w:val="center"/>
              <w:rPr>
                <w:rFonts w:ascii="宋体" w:hAnsi="宋体"/>
                <w:szCs w:val="21"/>
              </w:rPr>
            </w:pPr>
            <w:r>
              <w:rPr>
                <w:rFonts w:hint="eastAsia" w:ascii="宋体" w:hAnsi="宋体"/>
                <w:szCs w:val="21"/>
              </w:rPr>
              <w:t>10</w:t>
            </w:r>
          </w:p>
        </w:tc>
      </w:tr>
    </w:tbl>
    <w:p>
      <w:pPr>
        <w:rPr>
          <w:b/>
        </w:rPr>
      </w:pPr>
    </w:p>
    <w:p>
      <w:pPr>
        <w:rPr>
          <w:b/>
        </w:rPr>
      </w:pPr>
      <w:r>
        <w:rPr>
          <w:rFonts w:hint="eastAsia"/>
          <w:b/>
        </w:rPr>
        <w:t>备注：</w:t>
      </w:r>
      <w:r>
        <w:rPr>
          <w:rFonts w:hint="eastAsia"/>
          <w:szCs w:val="21"/>
        </w:rPr>
        <w:t>注：本项目非专门面向中小企业采购，根据财政部发布的《政府采购促进中小企业发展管理办法》（财库〔2020〕46号）规定，以及江苏省财政厅《关于新冠肺炎疫情防控期间加大政府采购支持中小微企业力度的通知》要求，对小型和微型企业的报价给予10%（工程项目5%）的扣除，用扣除后的价格参与评审。适用招标投标法的政府采购工程建设项目，采用综合评估法但未采用低价优先法计算价格分的，在采用原报价进行评分的基础上增加其价格得分的5%作为其价格分。 (须提供中小企业声明函，监狱企业、残疾人企业比照执行)</w:t>
      </w:r>
    </w:p>
    <w:p>
      <w:pPr>
        <w:jc w:val="center"/>
        <w:outlineLvl w:val="0"/>
        <w:rPr>
          <w:rFonts w:ascii="黑体" w:hAnsi="黑体" w:eastAsia="黑体"/>
          <w:kern w:val="44"/>
          <w:sz w:val="32"/>
        </w:rPr>
      </w:pPr>
      <w:bookmarkStart w:id="343" w:name="_Toc499830110"/>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黑体" w:hAnsi="黑体" w:eastAsia="黑体"/>
          <w:kern w:val="44"/>
          <w:sz w:val="32"/>
        </w:rPr>
      </w:pPr>
    </w:p>
    <w:p>
      <w:pPr>
        <w:jc w:val="center"/>
        <w:outlineLvl w:val="0"/>
        <w:rPr>
          <w:rFonts w:ascii="宋体" w:hAnsi="宋体" w:cs="宋体"/>
          <w:b/>
          <w:bCs/>
          <w:sz w:val="28"/>
          <w:szCs w:val="28"/>
        </w:rPr>
      </w:pPr>
      <w:r>
        <w:rPr>
          <w:rFonts w:hint="eastAsia" w:ascii="黑体" w:hAnsi="黑体" w:eastAsia="黑体"/>
          <w:kern w:val="44"/>
          <w:sz w:val="32"/>
        </w:rPr>
        <w:t>第四章  合同条款及格式</w:t>
      </w:r>
      <w:bookmarkEnd w:id="343"/>
      <w:bookmarkStart w:id="344" w:name="_Toc499830111"/>
      <w:bookmarkStart w:id="345" w:name="_Toc152042554"/>
      <w:bookmarkStart w:id="346" w:name="_Toc227984065"/>
      <w:bookmarkStart w:id="347" w:name="_Toc144974834"/>
      <w:bookmarkStart w:id="348" w:name="_Toc152045772"/>
    </w:p>
    <w:p>
      <w:pPr>
        <w:autoSpaceDE w:val="0"/>
        <w:autoSpaceDN w:val="0"/>
        <w:jc w:val="center"/>
        <w:rPr>
          <w:rFonts w:ascii="宋体" w:hAnsi="宋体" w:cs="宋体"/>
          <w:szCs w:val="21"/>
        </w:rPr>
      </w:pPr>
      <w:r>
        <w:rPr>
          <w:rFonts w:hint="eastAsia" w:ascii="宋体" w:hAnsi="宋体" w:cs="宋体"/>
          <w:szCs w:val="21"/>
        </w:rPr>
        <w:t>南京特殊教育师范学院燕子矶校区树木修剪服务项目采购合同</w:t>
      </w:r>
    </w:p>
    <w:p>
      <w:pPr>
        <w:autoSpaceDE w:val="0"/>
        <w:autoSpaceDN w:val="0"/>
        <w:rPr>
          <w:rFonts w:ascii="宋体" w:hAnsi="宋体" w:cs="宋体"/>
          <w:szCs w:val="21"/>
        </w:rPr>
      </w:pPr>
      <w:r>
        <w:rPr>
          <w:rFonts w:hint="eastAsia" w:ascii="宋体" w:hAnsi="宋体" w:cs="宋体"/>
          <w:szCs w:val="21"/>
        </w:rPr>
        <w:t>合同编号：</w:t>
      </w:r>
    </w:p>
    <w:p>
      <w:pPr>
        <w:autoSpaceDE w:val="0"/>
        <w:autoSpaceDN w:val="0"/>
        <w:rPr>
          <w:rFonts w:ascii="宋体" w:hAnsi="宋体" w:cs="宋体"/>
          <w:szCs w:val="21"/>
        </w:rPr>
      </w:pPr>
      <w:r>
        <w:rPr>
          <w:rFonts w:hint="eastAsia" w:ascii="宋体" w:hAnsi="宋体" w:cs="宋体"/>
          <w:szCs w:val="21"/>
        </w:rPr>
        <w:t>项目名称：</w:t>
      </w:r>
    </w:p>
    <w:p>
      <w:pPr>
        <w:autoSpaceDE w:val="0"/>
        <w:autoSpaceDN w:val="0"/>
        <w:rPr>
          <w:rFonts w:ascii="宋体" w:hAnsi="宋体" w:cs="宋体"/>
          <w:szCs w:val="21"/>
        </w:rPr>
      </w:pPr>
      <w:r>
        <w:rPr>
          <w:rFonts w:hint="eastAsia" w:ascii="宋体" w:hAnsi="宋体" w:cs="宋体"/>
          <w:szCs w:val="21"/>
        </w:rPr>
        <w:t>项目编号：</w:t>
      </w:r>
    </w:p>
    <w:p>
      <w:pPr>
        <w:autoSpaceDE w:val="0"/>
        <w:autoSpaceDN w:val="0"/>
        <w:rPr>
          <w:rFonts w:ascii="宋体" w:hAnsi="宋体" w:cs="宋体"/>
          <w:szCs w:val="21"/>
        </w:rPr>
      </w:pPr>
      <w:r>
        <w:rPr>
          <w:rFonts w:hint="eastAsia" w:ascii="宋体" w:hAnsi="宋体" w:cs="宋体"/>
          <w:szCs w:val="21"/>
        </w:rPr>
        <w:t>采购人：</w:t>
      </w:r>
    </w:p>
    <w:p>
      <w:pPr>
        <w:autoSpaceDE w:val="0"/>
        <w:autoSpaceDN w:val="0"/>
        <w:rPr>
          <w:rFonts w:ascii="宋体" w:hAnsi="宋体" w:cs="宋体"/>
          <w:szCs w:val="21"/>
        </w:rPr>
      </w:pPr>
      <w:r>
        <w:rPr>
          <w:rFonts w:hint="eastAsia" w:ascii="宋体" w:hAnsi="宋体" w:cs="宋体"/>
          <w:szCs w:val="21"/>
        </w:rPr>
        <w:t>供应商：</w:t>
      </w:r>
    </w:p>
    <w:p>
      <w:pPr>
        <w:autoSpaceDE w:val="0"/>
        <w:autoSpaceDN w:val="0"/>
        <w:rPr>
          <w:rFonts w:ascii="宋体" w:hAnsi="宋体" w:cs="宋体"/>
          <w:szCs w:val="21"/>
        </w:rPr>
      </w:pPr>
      <w:r>
        <w:rPr>
          <w:rFonts w:hint="eastAsia" w:ascii="宋体" w:hAnsi="宋体" w:cs="宋体"/>
          <w:szCs w:val="21"/>
        </w:rPr>
        <w:t xml:space="preserve">甲方（采购方）：                         </w:t>
      </w:r>
    </w:p>
    <w:p>
      <w:pPr>
        <w:autoSpaceDE w:val="0"/>
        <w:autoSpaceDN w:val="0"/>
        <w:rPr>
          <w:rFonts w:ascii="宋体" w:hAnsi="宋体" w:cs="宋体"/>
          <w:szCs w:val="21"/>
        </w:rPr>
      </w:pPr>
      <w:r>
        <w:rPr>
          <w:rFonts w:hint="eastAsia" w:ascii="宋体" w:hAnsi="宋体" w:cs="宋体"/>
          <w:szCs w:val="21"/>
        </w:rPr>
        <w:t xml:space="preserve">乙方（成交人）：                         </w:t>
      </w:r>
    </w:p>
    <w:p>
      <w:pPr>
        <w:autoSpaceDE w:val="0"/>
        <w:autoSpaceDN w:val="0"/>
        <w:rPr>
          <w:rFonts w:ascii="宋体" w:hAnsi="宋体" w:cs="宋体"/>
          <w:szCs w:val="21"/>
        </w:rPr>
      </w:pPr>
      <w:r>
        <w:rPr>
          <w:rFonts w:hint="eastAsia"/>
          <w:sz w:val="28"/>
          <w:szCs w:val="28"/>
        </w:rPr>
        <w:t xml:space="preserve">   </w:t>
      </w:r>
      <w:r>
        <w:rPr>
          <w:rFonts w:hint="eastAsia" w:ascii="宋体" w:hAnsi="宋体" w:cs="宋体"/>
          <w:szCs w:val="21"/>
        </w:rPr>
        <w:t>根据南京特殊教育师范学院燕子矶校区树木修剪服务项目的谈判结果，按照《中华人民共和国政府采购法》、《中华人民共和国民法典》的规定，经双方协商，本着平等互利和诚实信用的原则，一致同意签订本合同如下：</w:t>
      </w:r>
    </w:p>
    <w:p>
      <w:pPr>
        <w:autoSpaceDE w:val="0"/>
        <w:autoSpaceDN w:val="0"/>
        <w:rPr>
          <w:rFonts w:ascii="宋体" w:hAnsi="宋体" w:cs="宋体"/>
          <w:szCs w:val="21"/>
        </w:rPr>
      </w:pPr>
      <w:r>
        <w:rPr>
          <w:rFonts w:hint="eastAsia" w:ascii="宋体" w:hAnsi="宋体" w:cs="宋体"/>
          <w:szCs w:val="21"/>
        </w:rPr>
        <w:t>一、服务概况</w:t>
      </w:r>
    </w:p>
    <w:p>
      <w:pPr>
        <w:autoSpaceDE w:val="0"/>
        <w:autoSpaceDN w:val="0"/>
        <w:rPr>
          <w:rFonts w:ascii="宋体" w:hAnsi="宋体" w:cs="宋体"/>
          <w:szCs w:val="21"/>
        </w:rPr>
      </w:pPr>
      <w:r>
        <w:rPr>
          <w:rFonts w:hint="eastAsia" w:ascii="宋体" w:hAnsi="宋体" w:cs="宋体"/>
          <w:szCs w:val="21"/>
        </w:rPr>
        <w:t>1、项目名称：南京特殊教育师范学院燕子矶校区树木修剪服务项目</w:t>
      </w:r>
    </w:p>
    <w:p>
      <w:pPr>
        <w:autoSpaceDE w:val="0"/>
        <w:autoSpaceDN w:val="0"/>
        <w:rPr>
          <w:rFonts w:ascii="宋体" w:hAnsi="宋体" w:cs="宋体"/>
          <w:szCs w:val="21"/>
        </w:rPr>
      </w:pPr>
      <w:r>
        <w:rPr>
          <w:rFonts w:hint="eastAsia" w:ascii="宋体" w:hAnsi="宋体" w:cs="宋体"/>
          <w:szCs w:val="21"/>
        </w:rPr>
        <w:t>2、项目地点：南京特殊教育师范学院燕子矶校区内</w:t>
      </w:r>
    </w:p>
    <w:p>
      <w:pPr>
        <w:autoSpaceDE w:val="0"/>
        <w:autoSpaceDN w:val="0"/>
        <w:rPr>
          <w:rFonts w:ascii="宋体" w:hAnsi="宋体" w:cs="宋体"/>
          <w:szCs w:val="21"/>
        </w:rPr>
      </w:pPr>
      <w:r>
        <w:rPr>
          <w:rFonts w:hint="eastAsia" w:ascii="宋体" w:hAnsi="宋体" w:cs="宋体"/>
          <w:szCs w:val="21"/>
        </w:rPr>
        <w:t>3、承包方式：总承包</w:t>
      </w:r>
    </w:p>
    <w:p>
      <w:pPr>
        <w:autoSpaceDE w:val="0"/>
        <w:autoSpaceDN w:val="0"/>
        <w:rPr>
          <w:rFonts w:ascii="宋体" w:hAnsi="宋体" w:cs="宋体"/>
          <w:szCs w:val="21"/>
        </w:rPr>
      </w:pPr>
      <w:r>
        <w:rPr>
          <w:rFonts w:hint="eastAsia" w:ascii="宋体" w:hAnsi="宋体" w:cs="宋体"/>
          <w:szCs w:val="21"/>
        </w:rPr>
        <w:t>二、服务承包范围</w:t>
      </w:r>
    </w:p>
    <w:p>
      <w:pPr>
        <w:autoSpaceDE w:val="0"/>
        <w:autoSpaceDN w:val="0"/>
        <w:rPr>
          <w:rFonts w:ascii="宋体" w:hAnsi="宋体" w:cs="宋体"/>
          <w:szCs w:val="21"/>
        </w:rPr>
      </w:pPr>
      <w:r>
        <w:rPr>
          <w:rFonts w:hint="eastAsia" w:ascii="宋体" w:hAnsi="宋体" w:cs="宋体"/>
          <w:szCs w:val="21"/>
        </w:rPr>
        <w:t>招标文件项目清单范围内的所有内容；</w:t>
      </w:r>
    </w:p>
    <w:p>
      <w:pPr>
        <w:autoSpaceDE w:val="0"/>
        <w:autoSpaceDN w:val="0"/>
        <w:rPr>
          <w:rFonts w:ascii="宋体" w:hAnsi="宋体" w:cs="宋体"/>
          <w:szCs w:val="21"/>
        </w:rPr>
      </w:pPr>
      <w:r>
        <w:rPr>
          <w:rFonts w:hint="eastAsia" w:ascii="宋体" w:hAnsi="宋体" w:cs="宋体"/>
          <w:szCs w:val="21"/>
        </w:rPr>
        <w:t>三、合同工期</w:t>
      </w:r>
    </w:p>
    <w:p>
      <w:pPr>
        <w:autoSpaceDE w:val="0"/>
        <w:autoSpaceDN w:val="0"/>
        <w:rPr>
          <w:rFonts w:ascii="宋体" w:hAnsi="宋体" w:cs="宋体"/>
          <w:szCs w:val="21"/>
        </w:rPr>
      </w:pPr>
      <w:r>
        <w:rPr>
          <w:rFonts w:hint="eastAsia" w:ascii="宋体" w:hAnsi="宋体" w:cs="宋体"/>
          <w:szCs w:val="21"/>
        </w:rPr>
        <w:t>服务日期：      年   月   日</w:t>
      </w:r>
    </w:p>
    <w:p>
      <w:pPr>
        <w:autoSpaceDE w:val="0"/>
        <w:autoSpaceDN w:val="0"/>
        <w:rPr>
          <w:rFonts w:ascii="宋体" w:hAnsi="宋体" w:cs="宋体"/>
          <w:szCs w:val="21"/>
        </w:rPr>
      </w:pPr>
      <w:r>
        <w:rPr>
          <w:rFonts w:hint="eastAsia" w:ascii="宋体" w:hAnsi="宋体" w:cs="宋体"/>
          <w:szCs w:val="21"/>
        </w:rPr>
        <w:t>交工日期：      年   月   日</w:t>
      </w:r>
    </w:p>
    <w:p>
      <w:pPr>
        <w:autoSpaceDE w:val="0"/>
        <w:autoSpaceDN w:val="0"/>
        <w:rPr>
          <w:rFonts w:ascii="宋体" w:hAnsi="宋体" w:cs="宋体"/>
          <w:szCs w:val="21"/>
        </w:rPr>
      </w:pPr>
      <w:r>
        <w:rPr>
          <w:rFonts w:hint="eastAsia" w:ascii="宋体" w:hAnsi="宋体" w:cs="宋体"/>
          <w:szCs w:val="21"/>
        </w:rPr>
        <w:t xml:space="preserve">合同工期总日历天数 </w:t>
      </w:r>
      <w:r>
        <w:rPr>
          <w:rFonts w:hint="eastAsia" w:ascii="宋体" w:hAnsi="宋体"/>
          <w:sz w:val="24"/>
          <w:szCs w:val="24"/>
        </w:rPr>
        <w:t>20</w:t>
      </w:r>
      <w:r>
        <w:rPr>
          <w:rFonts w:hint="eastAsia" w:ascii="宋体" w:hAnsi="宋体" w:cs="宋体"/>
          <w:szCs w:val="21"/>
        </w:rPr>
        <w:t>日历天。</w:t>
      </w:r>
    </w:p>
    <w:p>
      <w:pPr>
        <w:autoSpaceDE w:val="0"/>
        <w:autoSpaceDN w:val="0"/>
        <w:rPr>
          <w:rFonts w:ascii="宋体" w:hAnsi="宋体" w:cs="宋体"/>
          <w:szCs w:val="21"/>
        </w:rPr>
      </w:pPr>
      <w:r>
        <w:rPr>
          <w:rFonts w:hint="eastAsia" w:ascii="宋体" w:hAnsi="宋体" w:cs="宋体"/>
          <w:szCs w:val="21"/>
        </w:rPr>
        <w:t>四、质量标准及质保期</w:t>
      </w:r>
    </w:p>
    <w:p>
      <w:pPr>
        <w:autoSpaceDE w:val="0"/>
        <w:autoSpaceDN w:val="0"/>
        <w:rPr>
          <w:rFonts w:ascii="宋体" w:hAnsi="宋体" w:cs="宋体"/>
          <w:szCs w:val="21"/>
        </w:rPr>
      </w:pPr>
      <w:r>
        <w:rPr>
          <w:rFonts w:hint="eastAsia" w:ascii="宋体" w:hAnsi="宋体" w:cs="宋体"/>
          <w:szCs w:val="21"/>
        </w:rPr>
        <w:t>服务质量标准：相关行业标准及采购人要求</w:t>
      </w:r>
    </w:p>
    <w:p>
      <w:pPr>
        <w:autoSpaceDE w:val="0"/>
        <w:autoSpaceDN w:val="0"/>
        <w:rPr>
          <w:rFonts w:ascii="宋体" w:hAnsi="宋体" w:cs="宋体"/>
          <w:szCs w:val="21"/>
        </w:rPr>
      </w:pPr>
      <w:r>
        <w:rPr>
          <w:rFonts w:hint="eastAsia" w:ascii="宋体" w:hAnsi="宋体" w:cs="宋体"/>
          <w:szCs w:val="21"/>
        </w:rPr>
        <w:t>采购人要求：</w:t>
      </w:r>
    </w:p>
    <w:p>
      <w:pPr>
        <w:autoSpaceDE w:val="0"/>
        <w:autoSpaceDN w:val="0"/>
        <w:rPr>
          <w:rFonts w:ascii="宋体" w:hAnsi="宋体" w:cs="宋体"/>
          <w:szCs w:val="21"/>
        </w:rPr>
      </w:pPr>
      <w:r>
        <w:rPr>
          <w:rFonts w:hint="eastAsia" w:ascii="宋体" w:hAnsi="宋体" w:cs="宋体"/>
          <w:szCs w:val="21"/>
        </w:rPr>
        <w:t>1.处理方案：按甲方要求修剪树型，创口处理，枯枝、丛生枝、萌芽枝、下垂枝、建筑周边树枝、遮光严重倾斜严重树枝修剪，包含修剪高枝所需的登高设备，请投标单位自行考虑该项费用；</w:t>
      </w:r>
    </w:p>
    <w:p>
      <w:pPr>
        <w:autoSpaceDE w:val="0"/>
        <w:autoSpaceDN w:val="0"/>
        <w:rPr>
          <w:rFonts w:ascii="宋体" w:hAnsi="宋体" w:cs="宋体"/>
          <w:szCs w:val="21"/>
        </w:rPr>
      </w:pPr>
      <w:r>
        <w:rPr>
          <w:rFonts w:hint="eastAsia" w:ascii="宋体" w:hAnsi="宋体" w:cs="宋体"/>
          <w:szCs w:val="21"/>
        </w:rPr>
        <w:t>2.修剪后树形美观、内堂通透，且无影响行人及车辆的下垂枝，修剪后的树枝及枯叶当天清理，不得遗留过夜。</w:t>
      </w:r>
    </w:p>
    <w:p>
      <w:pPr>
        <w:autoSpaceDE w:val="0"/>
        <w:autoSpaceDN w:val="0"/>
        <w:rPr>
          <w:rFonts w:ascii="宋体" w:hAnsi="宋体" w:cs="宋体"/>
          <w:szCs w:val="21"/>
        </w:rPr>
      </w:pPr>
      <w:r>
        <w:rPr>
          <w:rFonts w:hint="eastAsia" w:ascii="宋体" w:hAnsi="宋体" w:cs="宋体"/>
          <w:szCs w:val="21"/>
        </w:rPr>
        <w:t>3.修剪枝叶运至指点地点处理；</w:t>
      </w:r>
    </w:p>
    <w:p>
      <w:pPr>
        <w:autoSpaceDE w:val="0"/>
        <w:autoSpaceDN w:val="0"/>
        <w:rPr>
          <w:rFonts w:ascii="宋体" w:hAnsi="宋体" w:cs="宋体"/>
          <w:szCs w:val="21"/>
        </w:rPr>
      </w:pPr>
      <w:r>
        <w:rPr>
          <w:rFonts w:hint="eastAsia" w:ascii="宋体" w:hAnsi="宋体" w:cs="宋体"/>
          <w:szCs w:val="21"/>
        </w:rPr>
        <w:t>4.垃圾外运至城市垃圾堆放处：包含垃圾弃置费，请投标单位自行考虑该项费用；</w:t>
      </w:r>
    </w:p>
    <w:p>
      <w:pPr>
        <w:autoSpaceDE w:val="0"/>
        <w:autoSpaceDN w:val="0"/>
        <w:rPr>
          <w:rFonts w:ascii="宋体" w:hAnsi="宋体" w:cs="宋体"/>
          <w:szCs w:val="21"/>
        </w:rPr>
      </w:pPr>
      <w:r>
        <w:rPr>
          <w:rFonts w:hint="eastAsia" w:ascii="宋体" w:hAnsi="宋体" w:cs="宋体"/>
          <w:szCs w:val="21"/>
        </w:rPr>
        <w:t>5.负责和南京市有关部门沟通，获得砍伐许可。</w:t>
      </w:r>
    </w:p>
    <w:p>
      <w:pPr>
        <w:autoSpaceDE w:val="0"/>
        <w:autoSpaceDN w:val="0"/>
        <w:rPr>
          <w:rFonts w:ascii="宋体" w:hAnsi="宋体" w:cs="宋体"/>
          <w:szCs w:val="21"/>
        </w:rPr>
      </w:pPr>
      <w:r>
        <w:rPr>
          <w:rFonts w:hint="eastAsia" w:ascii="宋体" w:hAnsi="宋体" w:cs="宋体"/>
          <w:szCs w:val="21"/>
        </w:rPr>
        <w:t>投标人要考虑施工过程中的安全风险，由于自身原因发生的安全事故不仅要承担本次事故的所有处理费用，还应当承担招标人全部的损失费。</w:t>
      </w:r>
    </w:p>
    <w:p>
      <w:pPr>
        <w:autoSpaceDE w:val="0"/>
        <w:autoSpaceDN w:val="0"/>
        <w:rPr>
          <w:rFonts w:ascii="宋体" w:hAnsi="宋体" w:cs="宋体"/>
          <w:szCs w:val="21"/>
        </w:rPr>
      </w:pPr>
      <w:r>
        <w:rPr>
          <w:rFonts w:hint="eastAsia" w:ascii="宋体" w:hAnsi="宋体" w:cs="宋体"/>
          <w:szCs w:val="21"/>
        </w:rPr>
        <w:t>6.投标人要考虑施工过程中的质量风险，由于自身原因发生的质量事故不仅要承担本次事故的所有处理费用，还应当承担招标人全部的损失费。</w:t>
      </w:r>
    </w:p>
    <w:p>
      <w:pPr>
        <w:autoSpaceDE w:val="0"/>
        <w:autoSpaceDN w:val="0"/>
        <w:rPr>
          <w:rFonts w:ascii="宋体" w:hAnsi="宋体" w:cs="宋体"/>
          <w:szCs w:val="21"/>
        </w:rPr>
      </w:pPr>
      <w:r>
        <w:rPr>
          <w:rFonts w:hint="eastAsia" w:ascii="宋体" w:hAnsi="宋体" w:cs="宋体"/>
          <w:szCs w:val="21"/>
        </w:rPr>
        <w:t>7.招标人保留根据工程实际情况及设计变更增减工程量的权利，投标人不得要求调价和费用补偿。</w:t>
      </w:r>
    </w:p>
    <w:p>
      <w:pPr>
        <w:autoSpaceDE w:val="0"/>
        <w:autoSpaceDN w:val="0"/>
        <w:rPr>
          <w:rFonts w:ascii="宋体" w:hAnsi="宋体" w:cs="宋体"/>
          <w:szCs w:val="21"/>
        </w:rPr>
      </w:pPr>
      <w:r>
        <w:rPr>
          <w:rFonts w:hint="eastAsia" w:ascii="宋体" w:hAnsi="宋体" w:cs="宋体"/>
          <w:szCs w:val="21"/>
        </w:rPr>
        <w:t>8.本次修剪树木均为高龄树木，树体较高，对其杂乱萌枝条、病虫枝、丛生枝、下垂枝、枯枝、死枝进行修剪，保持良好的树形树冠，对草坪上方遮光严重的枝干及触碰到建筑的枝干进行修剪。须对修剪切面做保护处理，并保证不能影响树木的正常生长，保持良好的树冠树形。对杨树和构树进行申报砍伐，并对树根进行清除。</w:t>
      </w:r>
    </w:p>
    <w:p>
      <w:pPr>
        <w:autoSpaceDE w:val="0"/>
        <w:autoSpaceDN w:val="0"/>
        <w:rPr>
          <w:rFonts w:ascii="宋体" w:hAnsi="宋体" w:cs="宋体"/>
          <w:szCs w:val="21"/>
        </w:rPr>
      </w:pPr>
      <w:r>
        <w:rPr>
          <w:rFonts w:hint="eastAsia" w:ascii="宋体" w:hAnsi="宋体" w:cs="宋体"/>
          <w:szCs w:val="21"/>
        </w:rPr>
        <w:t>9.植物在修剪过程中造成了树木死亡或者损伤严重，按招标方指定位置补植相同规格、品种树木并负责二年的养护，养护时间自树木补植后开始计算。</w:t>
      </w:r>
    </w:p>
    <w:p>
      <w:pPr>
        <w:autoSpaceDE w:val="0"/>
        <w:autoSpaceDN w:val="0"/>
        <w:rPr>
          <w:rFonts w:ascii="宋体" w:hAnsi="宋体" w:cs="宋体"/>
          <w:szCs w:val="21"/>
        </w:rPr>
      </w:pPr>
      <w:r>
        <w:rPr>
          <w:rFonts w:hint="eastAsia" w:ascii="宋体" w:hAnsi="宋体" w:cs="宋体"/>
          <w:szCs w:val="21"/>
        </w:rPr>
        <w:t>10.竣工验收要求一次通过，如初验不合格，中标人应无条件返工，费用自理。中标人应对修剪树木两年内出现的枯枝险情、萌芽等进行修剪维护。</w:t>
      </w:r>
    </w:p>
    <w:p>
      <w:pPr>
        <w:autoSpaceDE w:val="0"/>
        <w:autoSpaceDN w:val="0"/>
        <w:rPr>
          <w:rFonts w:ascii="宋体" w:hAnsi="宋体" w:cs="宋体"/>
          <w:szCs w:val="21"/>
        </w:rPr>
      </w:pPr>
      <w:r>
        <w:rPr>
          <w:rFonts w:hint="eastAsia" w:ascii="宋体" w:hAnsi="宋体" w:cs="宋体"/>
          <w:szCs w:val="21"/>
        </w:rPr>
        <w:t>质保期：本项目完成验收后两年</w:t>
      </w:r>
    </w:p>
    <w:p>
      <w:pPr>
        <w:autoSpaceDE w:val="0"/>
        <w:autoSpaceDN w:val="0"/>
        <w:rPr>
          <w:rFonts w:ascii="宋体" w:hAnsi="宋体" w:cs="宋体"/>
          <w:szCs w:val="21"/>
        </w:rPr>
      </w:pPr>
      <w:r>
        <w:rPr>
          <w:rFonts w:hint="eastAsia" w:ascii="宋体" w:hAnsi="宋体" w:cs="宋体"/>
          <w:szCs w:val="21"/>
        </w:rPr>
        <w:t>五、合同价款金额（大写）：￥：                   (人民币)（小写）￥：            万元。</w:t>
      </w:r>
    </w:p>
    <w:p>
      <w:pPr>
        <w:autoSpaceDE w:val="0"/>
        <w:autoSpaceDN w:val="0"/>
        <w:rPr>
          <w:rFonts w:ascii="宋体" w:hAnsi="宋体" w:cs="宋体"/>
          <w:szCs w:val="21"/>
        </w:rPr>
      </w:pPr>
      <w:r>
        <w:rPr>
          <w:rFonts w:hint="eastAsia" w:ascii="宋体" w:hAnsi="宋体" w:cs="宋体"/>
          <w:szCs w:val="21"/>
        </w:rPr>
        <w:t>六、交工方式及地点</w:t>
      </w:r>
    </w:p>
    <w:p>
      <w:pPr>
        <w:autoSpaceDE w:val="0"/>
        <w:autoSpaceDN w:val="0"/>
        <w:rPr>
          <w:rFonts w:ascii="宋体" w:hAnsi="宋体" w:cs="宋体"/>
          <w:szCs w:val="21"/>
        </w:rPr>
      </w:pPr>
      <w:r>
        <w:rPr>
          <w:rFonts w:hint="eastAsia" w:ascii="宋体" w:hAnsi="宋体" w:cs="宋体"/>
          <w:szCs w:val="21"/>
        </w:rPr>
        <w:t>交工期：合同生效后 20 天内完成并通过验收。</w:t>
      </w:r>
    </w:p>
    <w:p>
      <w:pPr>
        <w:autoSpaceDE w:val="0"/>
        <w:autoSpaceDN w:val="0"/>
        <w:rPr>
          <w:rFonts w:ascii="宋体" w:hAnsi="宋体" w:cs="宋体"/>
          <w:szCs w:val="21"/>
        </w:rPr>
      </w:pPr>
      <w:r>
        <w:rPr>
          <w:rFonts w:hint="eastAsia" w:ascii="宋体" w:hAnsi="宋体" w:cs="宋体"/>
          <w:szCs w:val="21"/>
        </w:rPr>
        <w:t>交工方式：到达甲方指定交工地点时，甲乙双方现场确认交工。</w:t>
      </w:r>
    </w:p>
    <w:p>
      <w:pPr>
        <w:autoSpaceDE w:val="0"/>
        <w:autoSpaceDN w:val="0"/>
        <w:rPr>
          <w:rFonts w:ascii="宋体" w:hAnsi="宋体" w:cs="宋体"/>
          <w:szCs w:val="21"/>
        </w:rPr>
      </w:pPr>
      <w:r>
        <w:rPr>
          <w:rFonts w:hint="eastAsia" w:ascii="宋体" w:hAnsi="宋体" w:cs="宋体"/>
          <w:szCs w:val="21"/>
        </w:rPr>
        <w:t>交工地点：甲方指定地点。</w:t>
      </w:r>
    </w:p>
    <w:p>
      <w:pPr>
        <w:autoSpaceDE w:val="0"/>
        <w:autoSpaceDN w:val="0"/>
        <w:rPr>
          <w:rFonts w:ascii="宋体" w:hAnsi="宋体" w:cs="宋体"/>
          <w:szCs w:val="21"/>
        </w:rPr>
      </w:pPr>
      <w:r>
        <w:rPr>
          <w:rFonts w:hint="eastAsia" w:ascii="宋体" w:hAnsi="宋体" w:cs="宋体"/>
          <w:szCs w:val="21"/>
        </w:rPr>
        <w:t>履约保证金：不低于合同金额的5%。</w:t>
      </w:r>
    </w:p>
    <w:p>
      <w:pPr>
        <w:autoSpaceDE w:val="0"/>
        <w:autoSpaceDN w:val="0"/>
        <w:rPr>
          <w:rFonts w:ascii="宋体" w:hAnsi="宋体" w:cs="宋体"/>
          <w:szCs w:val="21"/>
        </w:rPr>
      </w:pPr>
      <w:r>
        <w:rPr>
          <w:rFonts w:hint="eastAsia" w:ascii="宋体" w:hAnsi="宋体" w:cs="宋体"/>
          <w:szCs w:val="21"/>
        </w:rPr>
        <w:t>七、付款方式：</w:t>
      </w:r>
    </w:p>
    <w:p>
      <w:pPr>
        <w:autoSpaceDE w:val="0"/>
        <w:autoSpaceDN w:val="0"/>
        <w:rPr>
          <w:rFonts w:ascii="宋体" w:hAnsi="宋体" w:cs="宋体"/>
          <w:szCs w:val="21"/>
        </w:rPr>
      </w:pPr>
      <w:r>
        <w:rPr>
          <w:rFonts w:hint="eastAsia" w:ascii="宋体" w:hAnsi="宋体" w:cs="宋体"/>
          <w:szCs w:val="21"/>
        </w:rPr>
        <w:t>全部项目内容到甲方指定地点完成交工及验收合格（签发《验收合格报告》）后甲方支付成交金额的95 %；剩余款项待质保期结束后支付。</w:t>
      </w:r>
    </w:p>
    <w:p>
      <w:pPr>
        <w:autoSpaceDE w:val="0"/>
        <w:autoSpaceDN w:val="0"/>
        <w:rPr>
          <w:rFonts w:ascii="宋体" w:hAnsi="宋体" w:cs="宋体"/>
          <w:szCs w:val="21"/>
        </w:rPr>
      </w:pPr>
      <w:r>
        <w:rPr>
          <w:rFonts w:hint="eastAsia" w:ascii="宋体" w:hAnsi="宋体" w:cs="宋体"/>
          <w:szCs w:val="21"/>
        </w:rPr>
        <w:t>甲方仅负责在验收完成并收到发票后十五天内完成申报手续，实际付款到账时间及金额以支付单位支付时间及金额为准。甲方不承担逾期付款的违约责任，并且此情况不能成为供货商逾期交工的理由；</w:t>
      </w:r>
    </w:p>
    <w:p>
      <w:pPr>
        <w:autoSpaceDE w:val="0"/>
        <w:autoSpaceDN w:val="0"/>
        <w:rPr>
          <w:rFonts w:ascii="宋体" w:hAnsi="宋体" w:cs="宋体"/>
          <w:szCs w:val="21"/>
        </w:rPr>
      </w:pPr>
      <w:r>
        <w:rPr>
          <w:rFonts w:hint="eastAsia" w:ascii="宋体" w:hAnsi="宋体" w:cs="宋体"/>
          <w:szCs w:val="21"/>
        </w:rPr>
        <w:t>乙方向甲方开具正式发票，并提供与企业名称相符的银行账户及所供服务的验收相关证明，方可办理相关申报支付手续。</w:t>
      </w:r>
    </w:p>
    <w:p>
      <w:pPr>
        <w:autoSpaceDE w:val="0"/>
        <w:autoSpaceDN w:val="0"/>
        <w:rPr>
          <w:rFonts w:ascii="宋体" w:hAnsi="宋体" w:cs="宋体"/>
          <w:szCs w:val="21"/>
        </w:rPr>
      </w:pPr>
      <w:r>
        <w:rPr>
          <w:rFonts w:hint="eastAsia" w:ascii="宋体" w:hAnsi="宋体" w:cs="宋体"/>
          <w:szCs w:val="21"/>
        </w:rPr>
        <w:t>八、验收：</w:t>
      </w:r>
    </w:p>
    <w:p>
      <w:pPr>
        <w:autoSpaceDE w:val="0"/>
        <w:autoSpaceDN w:val="0"/>
        <w:rPr>
          <w:rFonts w:ascii="宋体" w:hAnsi="宋体" w:cs="宋体"/>
          <w:szCs w:val="21"/>
        </w:rPr>
      </w:pPr>
      <w:r>
        <w:rPr>
          <w:rFonts w:hint="eastAsia" w:ascii="宋体" w:hAnsi="宋体" w:cs="宋体"/>
          <w:szCs w:val="21"/>
        </w:rPr>
        <w:t>服务若有国家标准就按照国家标准验收，若无国家标准按行业标准或采购人要求验收。</w:t>
      </w:r>
    </w:p>
    <w:p>
      <w:pPr>
        <w:autoSpaceDE w:val="0"/>
        <w:autoSpaceDN w:val="0"/>
        <w:rPr>
          <w:rFonts w:ascii="宋体" w:hAnsi="宋体" w:cs="宋体"/>
          <w:szCs w:val="21"/>
        </w:rPr>
      </w:pPr>
      <w:r>
        <w:rPr>
          <w:rFonts w:hint="eastAsia" w:ascii="宋体" w:hAnsi="宋体" w:cs="宋体"/>
          <w:szCs w:val="21"/>
        </w:rPr>
        <w:t>甲方组成验收小组按国家有关规定、规范进行验收，必要时邀请相关的专业人员或机构参与验收。因服务质量问题发生争议时，由本地技术监督部门鉴定。符合质量技术标准的，鉴定费由甲方承担；否则鉴定费由乙方承担。</w:t>
      </w:r>
    </w:p>
    <w:p>
      <w:pPr>
        <w:autoSpaceDE w:val="0"/>
        <w:autoSpaceDN w:val="0"/>
        <w:rPr>
          <w:rFonts w:ascii="宋体" w:hAnsi="宋体" w:cs="宋体"/>
          <w:szCs w:val="21"/>
        </w:rPr>
      </w:pPr>
      <w:r>
        <w:rPr>
          <w:rFonts w:hint="eastAsia" w:ascii="宋体" w:hAnsi="宋体" w:cs="宋体"/>
          <w:szCs w:val="21"/>
        </w:rPr>
        <w:t>九、违约责任 ：</w:t>
      </w:r>
    </w:p>
    <w:p>
      <w:pPr>
        <w:autoSpaceDE w:val="0"/>
        <w:autoSpaceDN w:val="0"/>
        <w:rPr>
          <w:rFonts w:ascii="宋体" w:hAnsi="宋体" w:cs="宋体"/>
          <w:szCs w:val="21"/>
        </w:rPr>
      </w:pPr>
      <w:r>
        <w:rPr>
          <w:rFonts w:hint="eastAsia" w:ascii="宋体" w:hAnsi="宋体" w:cs="宋体"/>
          <w:szCs w:val="21"/>
        </w:rPr>
        <w:t>甲方验收时评定乙方服务质量不合格的，接到甲方通知后乙方需及时整改；如整改后仍不合格的，按服务总费用的20%收取乙方违约金。</w:t>
      </w:r>
    </w:p>
    <w:p>
      <w:pPr>
        <w:autoSpaceDE w:val="0"/>
        <w:autoSpaceDN w:val="0"/>
        <w:rPr>
          <w:rFonts w:ascii="宋体" w:hAnsi="宋体" w:cs="宋体"/>
          <w:szCs w:val="21"/>
        </w:rPr>
      </w:pPr>
      <w:r>
        <w:rPr>
          <w:rFonts w:hint="eastAsia" w:ascii="宋体" w:hAnsi="宋体" w:cs="宋体"/>
          <w:szCs w:val="21"/>
        </w:rPr>
        <w:t>因乙方违约给甲方造成损失的，乙方应承担全部赔偿责任。</w:t>
      </w:r>
    </w:p>
    <w:p>
      <w:pPr>
        <w:autoSpaceDE w:val="0"/>
        <w:autoSpaceDN w:val="0"/>
        <w:rPr>
          <w:rFonts w:ascii="宋体" w:hAnsi="宋体" w:cs="宋体"/>
          <w:szCs w:val="21"/>
        </w:rPr>
      </w:pPr>
      <w:r>
        <w:rPr>
          <w:rFonts w:hint="eastAsia" w:ascii="宋体" w:hAnsi="宋体" w:cs="宋体"/>
          <w:szCs w:val="21"/>
        </w:rPr>
        <w:t>十、争议的解决:</w:t>
      </w:r>
    </w:p>
    <w:p>
      <w:pPr>
        <w:autoSpaceDE w:val="0"/>
        <w:autoSpaceDN w:val="0"/>
        <w:rPr>
          <w:rFonts w:ascii="宋体" w:hAnsi="宋体" w:cs="宋体"/>
          <w:szCs w:val="21"/>
        </w:rPr>
      </w:pPr>
      <w:r>
        <w:rPr>
          <w:rFonts w:hint="eastAsia" w:ascii="宋体" w:hAnsi="宋体" w:cs="宋体"/>
          <w:szCs w:val="21"/>
        </w:rPr>
        <w:t>合同执行过程中发生的任何争议，如双方不能通过友好协商解决，应向甲方所在地人民法院诉讼。</w:t>
      </w:r>
    </w:p>
    <w:p>
      <w:pPr>
        <w:autoSpaceDE w:val="0"/>
        <w:autoSpaceDN w:val="0"/>
        <w:rPr>
          <w:rFonts w:ascii="宋体" w:hAnsi="宋体" w:cs="宋体"/>
          <w:szCs w:val="21"/>
        </w:rPr>
      </w:pPr>
      <w:r>
        <w:rPr>
          <w:rFonts w:hint="eastAsia" w:ascii="宋体" w:hAnsi="宋体" w:cs="宋体"/>
          <w:szCs w:val="21"/>
        </w:rPr>
        <w:t>十一、不可抗力：</w:t>
      </w:r>
    </w:p>
    <w:p>
      <w:pPr>
        <w:autoSpaceDE w:val="0"/>
        <w:autoSpaceDN w:val="0"/>
        <w:rPr>
          <w:rFonts w:ascii="宋体" w:hAnsi="宋体" w:cs="宋体"/>
          <w:szCs w:val="21"/>
        </w:rPr>
      </w:pPr>
      <w:r>
        <w:rPr>
          <w:rFonts w:hint="eastAsia" w:ascii="宋体" w:hAnsi="宋体" w:cs="宋体"/>
          <w:szCs w:val="21"/>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日内向对方通报，以减轻可能给对方造成的损失，在取得有关机构的不可抗力证明或双方谅解确认后，允许延期履行或修订合同，并根据情况可部分或全部免于承担违约责任。因合同一方迟延履</w:t>
      </w:r>
    </w:p>
    <w:p>
      <w:pPr>
        <w:autoSpaceDE w:val="0"/>
        <w:autoSpaceDN w:val="0"/>
        <w:rPr>
          <w:rFonts w:ascii="宋体" w:hAnsi="宋体" w:cs="宋体"/>
          <w:szCs w:val="21"/>
        </w:rPr>
      </w:pPr>
      <w:r>
        <w:rPr>
          <w:rFonts w:hint="eastAsia" w:ascii="宋体" w:hAnsi="宋体" w:cs="宋体"/>
          <w:szCs w:val="21"/>
        </w:rPr>
        <w:t>行合同后发生不可抗力的，不能免除迟延履行方的相应责任。</w:t>
      </w:r>
    </w:p>
    <w:p>
      <w:pPr>
        <w:autoSpaceDE w:val="0"/>
        <w:autoSpaceDN w:val="0"/>
        <w:rPr>
          <w:rFonts w:ascii="宋体" w:hAnsi="宋体" w:cs="宋体"/>
          <w:szCs w:val="21"/>
        </w:rPr>
      </w:pPr>
      <w:r>
        <w:rPr>
          <w:rFonts w:hint="eastAsia" w:ascii="宋体" w:hAnsi="宋体" w:cs="宋体"/>
          <w:szCs w:val="21"/>
        </w:rPr>
        <w:t>十二、税费：</w:t>
      </w:r>
    </w:p>
    <w:p>
      <w:pPr>
        <w:autoSpaceDE w:val="0"/>
        <w:autoSpaceDN w:val="0"/>
        <w:rPr>
          <w:rFonts w:ascii="宋体" w:hAnsi="宋体" w:cs="宋体"/>
          <w:szCs w:val="21"/>
        </w:rPr>
      </w:pPr>
      <w:r>
        <w:rPr>
          <w:rFonts w:hint="eastAsia" w:ascii="宋体" w:hAnsi="宋体" w:cs="宋体"/>
          <w:szCs w:val="21"/>
        </w:rPr>
        <w:t>在中国境内、外发生的与本合同执行有关的一切税费均由乙方负担。</w:t>
      </w:r>
    </w:p>
    <w:p>
      <w:pPr>
        <w:autoSpaceDE w:val="0"/>
        <w:autoSpaceDN w:val="0"/>
        <w:rPr>
          <w:rFonts w:ascii="宋体" w:hAnsi="宋体" w:cs="宋体"/>
          <w:szCs w:val="21"/>
        </w:rPr>
      </w:pPr>
      <w:r>
        <w:rPr>
          <w:rFonts w:hint="eastAsia" w:ascii="宋体" w:hAnsi="宋体" w:cs="宋体"/>
          <w:szCs w:val="21"/>
        </w:rPr>
        <w:t>十三、其它:</w:t>
      </w:r>
    </w:p>
    <w:p>
      <w:pPr>
        <w:autoSpaceDE w:val="0"/>
        <w:autoSpaceDN w:val="0"/>
        <w:rPr>
          <w:rFonts w:ascii="宋体" w:hAnsi="宋体" w:cs="宋体"/>
          <w:szCs w:val="21"/>
        </w:rPr>
      </w:pPr>
      <w:r>
        <w:rPr>
          <w:rFonts w:hint="eastAsia" w:ascii="宋体" w:hAnsi="宋体" w:cs="宋体"/>
          <w:szCs w:val="21"/>
        </w:rPr>
        <w:t>除甲方事先书面同意外，乙方不得部分或全部转让其应履行的合同项下的任何责任和义务。</w:t>
      </w:r>
    </w:p>
    <w:p>
      <w:pPr>
        <w:autoSpaceDE w:val="0"/>
        <w:autoSpaceDN w:val="0"/>
        <w:rPr>
          <w:rFonts w:ascii="宋体" w:hAnsi="宋体" w:cs="宋体"/>
          <w:szCs w:val="21"/>
        </w:rPr>
      </w:pPr>
      <w:r>
        <w:rPr>
          <w:rFonts w:hint="eastAsia" w:ascii="宋体" w:hAnsi="宋体" w:cs="宋体"/>
          <w:szCs w:val="21"/>
        </w:rPr>
        <w:t>十四、合同生效及其他：</w:t>
      </w:r>
    </w:p>
    <w:p>
      <w:pPr>
        <w:autoSpaceDE w:val="0"/>
        <w:autoSpaceDN w:val="0"/>
        <w:rPr>
          <w:rFonts w:ascii="宋体" w:hAnsi="宋体" w:cs="宋体"/>
          <w:szCs w:val="21"/>
        </w:rPr>
      </w:pPr>
      <w:r>
        <w:rPr>
          <w:rFonts w:hint="eastAsia" w:ascii="宋体" w:hAnsi="宋体" w:cs="宋体"/>
          <w:szCs w:val="21"/>
        </w:rPr>
        <w:t>本合同在甲乙双方授权代表签字或盖章后生效。</w:t>
      </w:r>
    </w:p>
    <w:p>
      <w:pPr>
        <w:autoSpaceDE w:val="0"/>
        <w:autoSpaceDN w:val="0"/>
        <w:rPr>
          <w:rFonts w:ascii="宋体" w:hAnsi="宋体" w:cs="宋体"/>
          <w:szCs w:val="21"/>
        </w:rPr>
      </w:pPr>
      <w:r>
        <w:rPr>
          <w:rFonts w:hint="eastAsia" w:ascii="宋体" w:hAnsi="宋体" w:cs="宋体"/>
          <w:szCs w:val="21"/>
        </w:rPr>
        <w:t>如需修改合同内容，双方应签署书面修改或补充协议，该修改协议作为本合同的一个组成部分。</w:t>
      </w:r>
    </w:p>
    <w:p>
      <w:pPr>
        <w:autoSpaceDE w:val="0"/>
        <w:autoSpaceDN w:val="0"/>
        <w:rPr>
          <w:rFonts w:ascii="宋体" w:hAnsi="宋体" w:cs="宋体"/>
          <w:szCs w:val="21"/>
        </w:rPr>
      </w:pPr>
      <w:r>
        <w:rPr>
          <w:rFonts w:hint="eastAsia" w:ascii="宋体" w:hAnsi="宋体" w:cs="宋体"/>
          <w:szCs w:val="21"/>
        </w:rPr>
        <w:t>本合同一式陆份，具有同等法律效力。甲方执肆份、乙方执贰份。</w:t>
      </w:r>
    </w:p>
    <w:p>
      <w:pPr>
        <w:autoSpaceDE w:val="0"/>
        <w:autoSpaceDN w:val="0"/>
        <w:rPr>
          <w:rFonts w:ascii="宋体" w:hAnsi="宋体" w:cs="宋体"/>
          <w:szCs w:val="21"/>
        </w:rPr>
      </w:pPr>
      <w:r>
        <w:rPr>
          <w:rFonts w:hint="eastAsia" w:ascii="宋体" w:hAnsi="宋体" w:cs="宋体"/>
          <w:szCs w:val="21"/>
        </w:rPr>
        <w:t>需   方（甲方）              供   方（乙方）</w:t>
      </w:r>
    </w:p>
    <w:p>
      <w:pPr>
        <w:autoSpaceDE w:val="0"/>
        <w:autoSpaceDN w:val="0"/>
        <w:rPr>
          <w:rFonts w:ascii="宋体" w:hAnsi="宋体" w:cs="宋体"/>
          <w:szCs w:val="21"/>
        </w:rPr>
      </w:pPr>
      <w:r>
        <w:rPr>
          <w:rFonts w:hint="eastAsia" w:ascii="宋体" w:hAnsi="宋体" w:cs="宋体"/>
          <w:szCs w:val="21"/>
        </w:rPr>
        <w:t>单位名称：                   单位名称：</w:t>
      </w:r>
    </w:p>
    <w:p>
      <w:pPr>
        <w:autoSpaceDE w:val="0"/>
        <w:autoSpaceDN w:val="0"/>
        <w:rPr>
          <w:rFonts w:ascii="宋体" w:hAnsi="宋体" w:cs="宋体"/>
          <w:szCs w:val="21"/>
        </w:rPr>
      </w:pPr>
      <w:r>
        <w:rPr>
          <w:rFonts w:hint="eastAsia" w:ascii="宋体" w:hAnsi="宋体" w:cs="宋体"/>
          <w:szCs w:val="21"/>
        </w:rPr>
        <w:t>地    址：                   地    址：</w:t>
      </w:r>
    </w:p>
    <w:p>
      <w:pPr>
        <w:autoSpaceDE w:val="0"/>
        <w:autoSpaceDN w:val="0"/>
        <w:rPr>
          <w:rFonts w:ascii="宋体" w:hAnsi="宋体" w:cs="宋体"/>
          <w:szCs w:val="21"/>
        </w:rPr>
      </w:pPr>
      <w:r>
        <w:rPr>
          <w:rFonts w:hint="eastAsia" w:ascii="宋体" w:hAnsi="宋体" w:cs="宋体"/>
          <w:szCs w:val="21"/>
        </w:rPr>
        <w:t>法定代表人：                 法定代表人：</w:t>
      </w:r>
    </w:p>
    <w:p>
      <w:pPr>
        <w:autoSpaceDE w:val="0"/>
        <w:autoSpaceDN w:val="0"/>
        <w:rPr>
          <w:rFonts w:ascii="宋体" w:hAnsi="宋体" w:cs="宋体"/>
          <w:szCs w:val="21"/>
        </w:rPr>
      </w:pPr>
      <w:r>
        <w:rPr>
          <w:rFonts w:hint="eastAsia" w:ascii="宋体" w:hAnsi="宋体" w:cs="宋体"/>
          <w:szCs w:val="21"/>
        </w:rPr>
        <w:t>委托代理人：                 委托代理人：</w:t>
      </w:r>
    </w:p>
    <w:p>
      <w:pPr>
        <w:autoSpaceDE w:val="0"/>
        <w:autoSpaceDN w:val="0"/>
        <w:rPr>
          <w:rFonts w:ascii="宋体" w:hAnsi="宋体" w:cs="宋体"/>
          <w:szCs w:val="21"/>
        </w:rPr>
      </w:pPr>
      <w:r>
        <w:rPr>
          <w:rFonts w:hint="eastAsia" w:ascii="宋体" w:hAnsi="宋体" w:cs="宋体"/>
          <w:szCs w:val="21"/>
        </w:rPr>
        <w:t>电    话：                    电     话：</w:t>
      </w:r>
    </w:p>
    <w:p>
      <w:pPr>
        <w:autoSpaceDE w:val="0"/>
        <w:autoSpaceDN w:val="0"/>
        <w:rPr>
          <w:rFonts w:ascii="宋体" w:hAnsi="宋体" w:cs="宋体"/>
          <w:szCs w:val="21"/>
        </w:rPr>
      </w:pPr>
      <w:r>
        <w:rPr>
          <w:rFonts w:hint="eastAsia" w:ascii="宋体" w:hAnsi="宋体" w:cs="宋体"/>
          <w:szCs w:val="21"/>
        </w:rPr>
        <w:t>签订日期：     年   月   日   签订日期：    年   月   日</w:t>
      </w:r>
    </w:p>
    <w:p>
      <w:pPr>
        <w:rPr>
          <w:sz w:val="28"/>
          <w:szCs w:val="28"/>
        </w:rPr>
      </w:pPr>
    </w:p>
    <w:p>
      <w:pPr>
        <w:autoSpaceDE w:val="0"/>
        <w:autoSpaceDN w:val="0"/>
        <w:jc w:val="center"/>
        <w:rPr>
          <w:rFonts w:ascii="宋体" w:hAnsi="宋体" w:cs="宋体"/>
          <w:b/>
          <w:bCs/>
          <w:sz w:val="28"/>
          <w:szCs w:val="28"/>
        </w:rPr>
      </w:pPr>
    </w:p>
    <w:p>
      <w:pPr>
        <w:autoSpaceDE w:val="0"/>
        <w:autoSpaceDN w:val="0"/>
        <w:jc w:val="center"/>
        <w:rPr>
          <w:rFonts w:ascii="宋体" w:hAnsi="宋体" w:cs="宋体"/>
          <w:b/>
          <w:bCs/>
          <w:sz w:val="28"/>
          <w:szCs w:val="28"/>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autoSpaceDE w:val="0"/>
        <w:autoSpaceDN w:val="0"/>
        <w:spacing w:line="460" w:lineRule="exact"/>
        <w:rPr>
          <w:rFonts w:ascii="宋体" w:hAnsi="宋体" w:cs="宋体"/>
          <w:szCs w:val="21"/>
        </w:rPr>
      </w:pPr>
    </w:p>
    <w:p>
      <w:pPr>
        <w:numPr>
          <w:ilvl w:val="0"/>
          <w:numId w:val="2"/>
        </w:numPr>
        <w:jc w:val="center"/>
        <w:outlineLvl w:val="0"/>
        <w:rPr>
          <w:rFonts w:ascii="黑体" w:hAnsi="黑体" w:eastAsia="黑体"/>
          <w:kern w:val="44"/>
          <w:sz w:val="32"/>
        </w:rPr>
      </w:pPr>
      <w:r>
        <w:rPr>
          <w:rFonts w:hint="eastAsia" w:ascii="黑体" w:hAnsi="黑体" w:eastAsia="黑体"/>
          <w:kern w:val="44"/>
          <w:sz w:val="32"/>
        </w:rPr>
        <w:t xml:space="preserve"> 项目清单及说明</w:t>
      </w:r>
    </w:p>
    <w:p>
      <w:pPr>
        <w:pStyle w:val="95"/>
        <w:keepNext w:val="0"/>
        <w:keepLines w:val="0"/>
        <w:jc w:val="left"/>
      </w:pPr>
      <w:r>
        <w:rPr>
          <w:rFonts w:hint="eastAsia"/>
        </w:rPr>
        <w:t>1.项目清单</w:t>
      </w:r>
    </w:p>
    <w:tbl>
      <w:tblPr>
        <w:tblStyle w:val="38"/>
        <w:tblW w:w="9495"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85"/>
        <w:gridCol w:w="1605"/>
        <w:gridCol w:w="1125"/>
        <w:gridCol w:w="870"/>
        <w:gridCol w:w="810"/>
        <w:gridCol w:w="79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18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树木</w:t>
            </w:r>
          </w:p>
          <w:p>
            <w:pPr>
              <w:widowControl/>
              <w:jc w:val="center"/>
              <w:rPr>
                <w:rFonts w:ascii="宋体" w:hAnsi="宋体" w:cs="宋体"/>
                <w:kern w:val="0"/>
                <w:szCs w:val="21"/>
              </w:rPr>
            </w:pPr>
            <w:r>
              <w:rPr>
                <w:rFonts w:hint="eastAsia" w:ascii="宋体" w:hAnsi="宋体" w:cs="宋体"/>
                <w:kern w:val="0"/>
                <w:szCs w:val="21"/>
              </w:rPr>
              <w:t>名称</w:t>
            </w:r>
          </w:p>
        </w:tc>
        <w:tc>
          <w:tcPr>
            <w:tcW w:w="160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树木情况</w:t>
            </w:r>
          </w:p>
        </w:tc>
        <w:tc>
          <w:tcPr>
            <w:tcW w:w="112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计量单位</w:t>
            </w:r>
          </w:p>
        </w:tc>
        <w:tc>
          <w:tcPr>
            <w:tcW w:w="87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工程量</w:t>
            </w:r>
          </w:p>
        </w:tc>
        <w:tc>
          <w:tcPr>
            <w:tcW w:w="1605" w:type="dxa"/>
            <w:gridSpan w:val="2"/>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金额（元）</w:t>
            </w:r>
          </w:p>
        </w:tc>
        <w:tc>
          <w:tcPr>
            <w:tcW w:w="2475" w:type="dxa"/>
            <w:vMerge w:val="restart"/>
            <w:shd w:val="clear" w:color="auto" w:fill="auto"/>
            <w:vAlign w:val="center"/>
          </w:tcPr>
          <w:p>
            <w:pPr>
              <w:jc w:val="center"/>
              <w:rPr>
                <w:rFonts w:ascii="宋体" w:hAnsi="宋体" w:cs="宋体"/>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shd w:val="clear" w:color="auto" w:fill="auto"/>
            <w:vAlign w:val="center"/>
          </w:tcPr>
          <w:p>
            <w:pPr>
              <w:widowControl/>
              <w:jc w:val="center"/>
              <w:rPr>
                <w:rFonts w:ascii="宋体" w:hAnsi="宋体" w:cs="宋体"/>
                <w:kern w:val="0"/>
                <w:szCs w:val="21"/>
              </w:rPr>
            </w:pPr>
          </w:p>
        </w:tc>
        <w:tc>
          <w:tcPr>
            <w:tcW w:w="1185" w:type="dxa"/>
            <w:vMerge w:val="continue"/>
            <w:shd w:val="clear" w:color="auto" w:fill="auto"/>
            <w:vAlign w:val="center"/>
          </w:tcPr>
          <w:p>
            <w:pPr>
              <w:widowControl/>
              <w:jc w:val="center"/>
              <w:rPr>
                <w:rFonts w:ascii="宋体" w:hAnsi="宋体" w:cs="宋体"/>
                <w:kern w:val="0"/>
                <w:szCs w:val="21"/>
              </w:rPr>
            </w:pPr>
          </w:p>
        </w:tc>
        <w:tc>
          <w:tcPr>
            <w:tcW w:w="1605" w:type="dxa"/>
            <w:vMerge w:val="continue"/>
            <w:shd w:val="clear" w:color="auto" w:fill="auto"/>
            <w:vAlign w:val="center"/>
          </w:tcPr>
          <w:p>
            <w:pPr>
              <w:widowControl/>
              <w:jc w:val="center"/>
              <w:rPr>
                <w:rFonts w:ascii="宋体" w:hAnsi="宋体" w:cs="宋体"/>
                <w:kern w:val="0"/>
                <w:szCs w:val="21"/>
              </w:rPr>
            </w:pPr>
          </w:p>
        </w:tc>
        <w:tc>
          <w:tcPr>
            <w:tcW w:w="1125" w:type="dxa"/>
            <w:vMerge w:val="continue"/>
            <w:shd w:val="clear" w:color="auto" w:fill="auto"/>
            <w:vAlign w:val="center"/>
          </w:tcPr>
          <w:p>
            <w:pPr>
              <w:widowControl/>
              <w:jc w:val="center"/>
              <w:rPr>
                <w:rFonts w:ascii="宋体" w:hAnsi="宋体" w:cs="宋体"/>
                <w:kern w:val="0"/>
                <w:szCs w:val="21"/>
              </w:rPr>
            </w:pPr>
          </w:p>
        </w:tc>
        <w:tc>
          <w:tcPr>
            <w:tcW w:w="870" w:type="dxa"/>
            <w:vMerge w:val="continue"/>
            <w:shd w:val="clear" w:color="auto" w:fill="auto"/>
            <w:vAlign w:val="center"/>
          </w:tcPr>
          <w:p>
            <w:pPr>
              <w:widowControl/>
              <w:jc w:val="center"/>
              <w:rPr>
                <w:rFonts w:ascii="宋体" w:hAnsi="宋体" w:cs="宋体"/>
                <w:kern w:val="0"/>
                <w:szCs w:val="21"/>
              </w:rPr>
            </w:pPr>
          </w:p>
        </w:tc>
        <w:tc>
          <w:tcPr>
            <w:tcW w:w="81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79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c>
          <w:tcPr>
            <w:tcW w:w="2475" w:type="dxa"/>
            <w:vMerge w:val="continue"/>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pPr>
              <w:widowControl/>
              <w:jc w:val="center"/>
              <w:rPr>
                <w:rFonts w:ascii="宋体" w:hAnsi="宋体" w:cs="宋体"/>
                <w:szCs w:val="21"/>
              </w:rPr>
            </w:pPr>
            <w:r>
              <w:rPr>
                <w:rFonts w:hint="eastAsia" w:ascii="宋体" w:hAnsi="宋体" w:cs="宋体"/>
                <w:kern w:val="0"/>
                <w:szCs w:val="21"/>
              </w:rPr>
              <w:t>1</w:t>
            </w:r>
          </w:p>
        </w:tc>
        <w:tc>
          <w:tcPr>
            <w:tcW w:w="118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梧桐树</w:t>
            </w:r>
          </w:p>
        </w:tc>
        <w:tc>
          <w:tcPr>
            <w:tcW w:w="16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杆径60-80cm，高18-22m</w:t>
            </w:r>
          </w:p>
        </w:tc>
        <w:tc>
          <w:tcPr>
            <w:tcW w:w="112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株</w:t>
            </w:r>
          </w:p>
        </w:tc>
        <w:tc>
          <w:tcPr>
            <w:tcW w:w="870" w:type="dxa"/>
            <w:shd w:val="clear" w:color="auto" w:fill="auto"/>
            <w:vAlign w:val="center"/>
          </w:tcPr>
          <w:p>
            <w:pPr>
              <w:widowControl/>
              <w:jc w:val="center"/>
              <w:rPr>
                <w:rFonts w:ascii="宋体" w:hAnsi="宋体" w:cs="宋体"/>
                <w:szCs w:val="21"/>
              </w:rPr>
            </w:pPr>
            <w:r>
              <w:rPr>
                <w:rFonts w:hint="eastAsia" w:ascii="宋体" w:hAnsi="宋体" w:cs="宋体"/>
                <w:kern w:val="0"/>
                <w:szCs w:val="21"/>
              </w:rPr>
              <w:t>49</w:t>
            </w:r>
          </w:p>
        </w:tc>
        <w:tc>
          <w:tcPr>
            <w:tcW w:w="810" w:type="dxa"/>
            <w:shd w:val="clear" w:color="auto" w:fill="auto"/>
          </w:tcPr>
          <w:p>
            <w:pPr>
              <w:rPr>
                <w:rFonts w:ascii="宋体" w:hAnsi="宋体" w:cs="宋体"/>
                <w:szCs w:val="21"/>
              </w:rPr>
            </w:pPr>
          </w:p>
        </w:tc>
        <w:tc>
          <w:tcPr>
            <w:tcW w:w="795" w:type="dxa"/>
            <w:shd w:val="clear" w:color="auto" w:fill="auto"/>
          </w:tcPr>
          <w:p>
            <w:pPr>
              <w:rPr>
                <w:rFonts w:ascii="宋体" w:hAnsi="宋体" w:cs="宋体"/>
                <w:szCs w:val="21"/>
              </w:rPr>
            </w:pPr>
          </w:p>
        </w:tc>
        <w:tc>
          <w:tcPr>
            <w:tcW w:w="2475" w:type="dxa"/>
            <w:vMerge w:val="restart"/>
            <w:shd w:val="clear" w:color="auto" w:fill="auto"/>
          </w:tcPr>
          <w:p>
            <w:pPr>
              <w:numPr>
                <w:ilvl w:val="0"/>
                <w:numId w:val="3"/>
              </w:numPr>
              <w:rPr>
                <w:rFonts w:ascii="宋体" w:hAnsi="宋体" w:cs="宋体"/>
                <w:szCs w:val="21"/>
              </w:rPr>
            </w:pPr>
            <w:r>
              <w:rPr>
                <w:rFonts w:hint="eastAsia" w:ascii="宋体" w:hAnsi="宋体" w:cs="宋体"/>
                <w:szCs w:val="21"/>
              </w:rPr>
              <w:t>处理方案：按甲方要求修剪树型，创口处理，枯枝、丛生枝、萌芽枝、下垂枝、建筑周边树枝、遮光严重倾斜严重树枝修剪，包含修剪高枝所需的登高设备，请投标单位自行考虑该项费用；</w:t>
            </w:r>
          </w:p>
          <w:p>
            <w:pPr>
              <w:numPr>
                <w:ilvl w:val="0"/>
                <w:numId w:val="3"/>
              </w:numPr>
              <w:rPr>
                <w:rFonts w:ascii="宋体" w:hAnsi="宋体" w:cs="宋体"/>
                <w:szCs w:val="21"/>
              </w:rPr>
            </w:pPr>
            <w:r>
              <w:rPr>
                <w:rFonts w:hint="eastAsia" w:ascii="宋体" w:hAnsi="宋体" w:cs="宋体"/>
                <w:szCs w:val="21"/>
              </w:rPr>
              <w:t>修剪后树形美观、内堂通透，且无影响行人及车辆的下垂枝，修剪后的树枝及枯叶当天清理，不得遗留过夜。</w:t>
            </w:r>
          </w:p>
          <w:p>
            <w:pPr>
              <w:numPr>
                <w:ilvl w:val="0"/>
                <w:numId w:val="3"/>
              </w:numPr>
              <w:rPr>
                <w:rFonts w:ascii="宋体" w:hAnsi="宋体" w:cs="宋体"/>
                <w:szCs w:val="21"/>
              </w:rPr>
            </w:pPr>
            <w:r>
              <w:rPr>
                <w:rFonts w:hint="eastAsia" w:ascii="宋体" w:hAnsi="宋体" w:cs="宋体"/>
                <w:szCs w:val="21"/>
              </w:rPr>
              <w:t>修剪枝叶运至指点地点处理；</w:t>
            </w:r>
          </w:p>
          <w:p>
            <w:pPr>
              <w:numPr>
                <w:ilvl w:val="0"/>
                <w:numId w:val="3"/>
              </w:numPr>
              <w:rPr>
                <w:rFonts w:ascii="宋体" w:hAnsi="宋体" w:cs="宋体"/>
                <w:szCs w:val="21"/>
              </w:rPr>
            </w:pPr>
            <w:r>
              <w:rPr>
                <w:rFonts w:hint="eastAsia" w:ascii="宋体" w:hAnsi="宋体" w:cs="宋体"/>
                <w:szCs w:val="21"/>
              </w:rPr>
              <w:t>垃圾外运至城市垃圾堆放处：包含垃圾弃置费，请投标单位自行考虑该项费用；</w:t>
            </w:r>
          </w:p>
          <w:p>
            <w:pPr>
              <w:rPr>
                <w:rFonts w:ascii="宋体" w:hAnsi="宋体" w:cs="宋体"/>
                <w:szCs w:val="21"/>
              </w:rPr>
            </w:pPr>
            <w:r>
              <w:rPr>
                <w:rFonts w:hint="eastAsia" w:ascii="宋体" w:hAnsi="宋体" w:cs="宋体"/>
                <w:szCs w:val="21"/>
              </w:rPr>
              <w:t>5.负责和南京市有关部门沟通，获得砍伐许可。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pPr>
              <w:widowControl/>
              <w:jc w:val="center"/>
              <w:rPr>
                <w:rFonts w:ascii="宋体" w:hAnsi="宋体" w:cs="宋体"/>
                <w:szCs w:val="21"/>
              </w:rPr>
            </w:pPr>
            <w:r>
              <w:rPr>
                <w:rFonts w:hint="eastAsia" w:ascii="宋体" w:hAnsi="宋体" w:cs="宋体"/>
                <w:kern w:val="0"/>
                <w:szCs w:val="21"/>
              </w:rPr>
              <w:t>2</w:t>
            </w:r>
          </w:p>
        </w:tc>
        <w:tc>
          <w:tcPr>
            <w:tcW w:w="1185" w:type="dxa"/>
            <w:shd w:val="clear" w:color="auto" w:fill="auto"/>
            <w:vAlign w:val="center"/>
          </w:tcPr>
          <w:p>
            <w:pPr>
              <w:widowControl/>
              <w:jc w:val="center"/>
              <w:rPr>
                <w:rFonts w:ascii="宋体" w:hAnsi="宋体" w:cs="宋体"/>
                <w:szCs w:val="21"/>
              </w:rPr>
            </w:pPr>
            <w:r>
              <w:rPr>
                <w:rFonts w:hint="eastAsia" w:ascii="宋体" w:hAnsi="宋体" w:cs="宋体"/>
                <w:kern w:val="0"/>
                <w:szCs w:val="21"/>
              </w:rPr>
              <w:t>香樟树</w:t>
            </w:r>
          </w:p>
        </w:tc>
        <w:tc>
          <w:tcPr>
            <w:tcW w:w="16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杆径30-40cm，高8-12m</w:t>
            </w:r>
          </w:p>
        </w:tc>
        <w:tc>
          <w:tcPr>
            <w:tcW w:w="112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株</w:t>
            </w:r>
          </w:p>
        </w:tc>
        <w:tc>
          <w:tcPr>
            <w:tcW w:w="870" w:type="dxa"/>
            <w:shd w:val="clear" w:color="auto" w:fill="auto"/>
            <w:vAlign w:val="center"/>
          </w:tcPr>
          <w:p>
            <w:pPr>
              <w:widowControl/>
              <w:jc w:val="center"/>
              <w:rPr>
                <w:rFonts w:ascii="宋体" w:hAnsi="宋体" w:cs="宋体"/>
                <w:szCs w:val="21"/>
              </w:rPr>
            </w:pPr>
            <w:r>
              <w:rPr>
                <w:rFonts w:hint="eastAsia" w:ascii="宋体" w:hAnsi="宋体" w:cs="宋体"/>
                <w:kern w:val="0"/>
                <w:szCs w:val="21"/>
              </w:rPr>
              <w:t>102</w:t>
            </w:r>
          </w:p>
        </w:tc>
        <w:tc>
          <w:tcPr>
            <w:tcW w:w="810" w:type="dxa"/>
            <w:shd w:val="clear" w:color="auto" w:fill="auto"/>
          </w:tcPr>
          <w:p>
            <w:pPr>
              <w:rPr>
                <w:rFonts w:ascii="宋体" w:hAnsi="宋体" w:cs="宋体"/>
                <w:szCs w:val="21"/>
              </w:rPr>
            </w:pPr>
          </w:p>
        </w:tc>
        <w:tc>
          <w:tcPr>
            <w:tcW w:w="795" w:type="dxa"/>
            <w:shd w:val="clear" w:color="auto" w:fill="auto"/>
          </w:tcPr>
          <w:p>
            <w:pPr>
              <w:rPr>
                <w:rFonts w:ascii="宋体" w:hAnsi="宋体" w:cs="宋体"/>
                <w:szCs w:val="21"/>
              </w:rPr>
            </w:pPr>
          </w:p>
        </w:tc>
        <w:tc>
          <w:tcPr>
            <w:tcW w:w="2475" w:type="dxa"/>
            <w:vMerge w:val="continue"/>
            <w:shd w:val="clear" w:color="auto" w:fill="auto"/>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pPr>
              <w:widowControl/>
              <w:jc w:val="center"/>
              <w:rPr>
                <w:rFonts w:ascii="宋体" w:hAnsi="宋体" w:cs="宋体"/>
                <w:szCs w:val="21"/>
              </w:rPr>
            </w:pPr>
            <w:r>
              <w:rPr>
                <w:rFonts w:hint="eastAsia" w:ascii="宋体" w:hAnsi="宋体" w:cs="宋体"/>
                <w:kern w:val="0"/>
                <w:szCs w:val="21"/>
              </w:rPr>
              <w:t>3</w:t>
            </w:r>
          </w:p>
        </w:tc>
        <w:tc>
          <w:tcPr>
            <w:tcW w:w="1185" w:type="dxa"/>
            <w:shd w:val="clear" w:color="auto" w:fill="auto"/>
            <w:vAlign w:val="center"/>
          </w:tcPr>
          <w:p>
            <w:pPr>
              <w:widowControl/>
              <w:jc w:val="center"/>
              <w:rPr>
                <w:rFonts w:ascii="宋体" w:hAnsi="宋体" w:cs="宋体"/>
                <w:szCs w:val="21"/>
              </w:rPr>
            </w:pPr>
            <w:r>
              <w:rPr>
                <w:rFonts w:hint="eastAsia" w:ascii="宋体" w:hAnsi="宋体" w:cs="宋体"/>
                <w:kern w:val="0"/>
                <w:szCs w:val="21"/>
              </w:rPr>
              <w:t>白玉兰</w:t>
            </w:r>
          </w:p>
        </w:tc>
        <w:tc>
          <w:tcPr>
            <w:tcW w:w="16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杆径30-40cm，高16-20m</w:t>
            </w:r>
          </w:p>
        </w:tc>
        <w:tc>
          <w:tcPr>
            <w:tcW w:w="112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株</w:t>
            </w:r>
          </w:p>
        </w:tc>
        <w:tc>
          <w:tcPr>
            <w:tcW w:w="870" w:type="dxa"/>
            <w:shd w:val="clear" w:color="auto" w:fill="auto"/>
            <w:vAlign w:val="center"/>
          </w:tcPr>
          <w:p>
            <w:pPr>
              <w:widowControl/>
              <w:jc w:val="center"/>
              <w:rPr>
                <w:rFonts w:ascii="宋体" w:hAnsi="宋体" w:cs="宋体"/>
                <w:szCs w:val="21"/>
              </w:rPr>
            </w:pPr>
            <w:r>
              <w:rPr>
                <w:rFonts w:hint="eastAsia" w:ascii="宋体" w:hAnsi="宋体" w:cs="宋体"/>
                <w:kern w:val="0"/>
                <w:szCs w:val="21"/>
              </w:rPr>
              <w:t>10</w:t>
            </w:r>
          </w:p>
        </w:tc>
        <w:tc>
          <w:tcPr>
            <w:tcW w:w="810" w:type="dxa"/>
            <w:shd w:val="clear" w:color="auto" w:fill="auto"/>
          </w:tcPr>
          <w:p>
            <w:pPr>
              <w:rPr>
                <w:rFonts w:ascii="宋体" w:hAnsi="宋体" w:cs="宋体"/>
                <w:szCs w:val="21"/>
              </w:rPr>
            </w:pPr>
          </w:p>
        </w:tc>
        <w:tc>
          <w:tcPr>
            <w:tcW w:w="795" w:type="dxa"/>
            <w:shd w:val="clear" w:color="auto" w:fill="auto"/>
          </w:tcPr>
          <w:p>
            <w:pPr>
              <w:rPr>
                <w:rFonts w:ascii="宋体" w:hAnsi="宋体" w:cs="宋体"/>
                <w:szCs w:val="21"/>
              </w:rPr>
            </w:pPr>
          </w:p>
        </w:tc>
        <w:tc>
          <w:tcPr>
            <w:tcW w:w="2475" w:type="dxa"/>
            <w:vMerge w:val="continue"/>
            <w:shd w:val="clear" w:color="auto" w:fill="auto"/>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pPr>
              <w:widowControl/>
              <w:jc w:val="center"/>
              <w:rPr>
                <w:rFonts w:ascii="宋体" w:hAnsi="宋体" w:cs="宋体"/>
                <w:szCs w:val="21"/>
              </w:rPr>
            </w:pPr>
            <w:r>
              <w:rPr>
                <w:rFonts w:hint="eastAsia" w:ascii="宋体" w:hAnsi="宋体" w:cs="宋体"/>
                <w:kern w:val="0"/>
                <w:szCs w:val="21"/>
              </w:rPr>
              <w:t>4</w:t>
            </w:r>
          </w:p>
        </w:tc>
        <w:tc>
          <w:tcPr>
            <w:tcW w:w="118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杨树</w:t>
            </w:r>
          </w:p>
        </w:tc>
        <w:tc>
          <w:tcPr>
            <w:tcW w:w="16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杆径60-70cm，高18-22m</w:t>
            </w:r>
          </w:p>
        </w:tc>
        <w:tc>
          <w:tcPr>
            <w:tcW w:w="112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株</w:t>
            </w:r>
          </w:p>
        </w:tc>
        <w:tc>
          <w:tcPr>
            <w:tcW w:w="870" w:type="dxa"/>
            <w:shd w:val="clear" w:color="auto" w:fill="auto"/>
            <w:vAlign w:val="center"/>
          </w:tcPr>
          <w:p>
            <w:pPr>
              <w:widowControl/>
              <w:jc w:val="center"/>
              <w:rPr>
                <w:rFonts w:ascii="宋体" w:hAnsi="宋体" w:cs="宋体"/>
                <w:szCs w:val="21"/>
              </w:rPr>
            </w:pPr>
            <w:r>
              <w:rPr>
                <w:rFonts w:hint="eastAsia" w:ascii="宋体" w:hAnsi="宋体" w:cs="宋体"/>
                <w:kern w:val="0"/>
                <w:szCs w:val="21"/>
              </w:rPr>
              <w:t>42</w:t>
            </w:r>
          </w:p>
        </w:tc>
        <w:tc>
          <w:tcPr>
            <w:tcW w:w="810" w:type="dxa"/>
            <w:shd w:val="clear" w:color="auto" w:fill="auto"/>
          </w:tcPr>
          <w:p>
            <w:pPr>
              <w:rPr>
                <w:rFonts w:ascii="宋体" w:hAnsi="宋体" w:cs="宋体"/>
                <w:szCs w:val="21"/>
              </w:rPr>
            </w:pPr>
          </w:p>
        </w:tc>
        <w:tc>
          <w:tcPr>
            <w:tcW w:w="795" w:type="dxa"/>
            <w:shd w:val="clear" w:color="auto" w:fill="auto"/>
          </w:tcPr>
          <w:p>
            <w:pPr>
              <w:rPr>
                <w:rFonts w:ascii="宋体" w:hAnsi="宋体" w:cs="宋体"/>
                <w:szCs w:val="21"/>
              </w:rPr>
            </w:pPr>
          </w:p>
        </w:tc>
        <w:tc>
          <w:tcPr>
            <w:tcW w:w="2475" w:type="dxa"/>
            <w:vMerge w:val="continue"/>
            <w:shd w:val="clear" w:color="auto" w:fill="auto"/>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pPr>
              <w:widowControl/>
              <w:jc w:val="center"/>
              <w:rPr>
                <w:rFonts w:ascii="宋体" w:hAnsi="宋体" w:cs="宋体"/>
                <w:szCs w:val="21"/>
              </w:rPr>
            </w:pPr>
            <w:r>
              <w:rPr>
                <w:rFonts w:hint="eastAsia" w:ascii="宋体" w:hAnsi="宋体" w:cs="宋体"/>
                <w:kern w:val="0"/>
                <w:szCs w:val="21"/>
              </w:rPr>
              <w:t>5</w:t>
            </w:r>
          </w:p>
        </w:tc>
        <w:tc>
          <w:tcPr>
            <w:tcW w:w="1185" w:type="dxa"/>
            <w:shd w:val="clear" w:color="auto" w:fill="auto"/>
            <w:vAlign w:val="center"/>
          </w:tcPr>
          <w:p>
            <w:pPr>
              <w:widowControl/>
              <w:jc w:val="center"/>
              <w:rPr>
                <w:rFonts w:ascii="宋体" w:hAnsi="宋体" w:cs="宋体"/>
                <w:szCs w:val="21"/>
              </w:rPr>
            </w:pPr>
            <w:r>
              <w:rPr>
                <w:rFonts w:hint="eastAsia" w:ascii="宋体" w:hAnsi="宋体" w:cs="宋体"/>
                <w:kern w:val="0"/>
                <w:szCs w:val="21"/>
              </w:rPr>
              <w:t>银杏树</w:t>
            </w:r>
          </w:p>
        </w:tc>
        <w:tc>
          <w:tcPr>
            <w:tcW w:w="16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杆径30-40cm，高18-20m</w:t>
            </w:r>
          </w:p>
        </w:tc>
        <w:tc>
          <w:tcPr>
            <w:tcW w:w="112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株</w:t>
            </w:r>
          </w:p>
        </w:tc>
        <w:tc>
          <w:tcPr>
            <w:tcW w:w="870" w:type="dxa"/>
            <w:shd w:val="clear" w:color="auto" w:fill="auto"/>
            <w:vAlign w:val="center"/>
          </w:tcPr>
          <w:p>
            <w:pPr>
              <w:widowControl/>
              <w:jc w:val="center"/>
              <w:rPr>
                <w:rFonts w:ascii="宋体" w:hAnsi="宋体" w:cs="宋体"/>
                <w:szCs w:val="21"/>
              </w:rPr>
            </w:pPr>
            <w:r>
              <w:rPr>
                <w:rFonts w:hint="eastAsia" w:ascii="宋体" w:hAnsi="宋体" w:cs="宋体"/>
                <w:kern w:val="0"/>
                <w:szCs w:val="21"/>
              </w:rPr>
              <w:t>14</w:t>
            </w:r>
          </w:p>
        </w:tc>
        <w:tc>
          <w:tcPr>
            <w:tcW w:w="810" w:type="dxa"/>
            <w:shd w:val="clear" w:color="auto" w:fill="auto"/>
          </w:tcPr>
          <w:p>
            <w:pPr>
              <w:rPr>
                <w:rFonts w:ascii="宋体" w:hAnsi="宋体" w:cs="宋体"/>
                <w:szCs w:val="21"/>
              </w:rPr>
            </w:pPr>
          </w:p>
        </w:tc>
        <w:tc>
          <w:tcPr>
            <w:tcW w:w="795" w:type="dxa"/>
            <w:shd w:val="clear" w:color="auto" w:fill="auto"/>
          </w:tcPr>
          <w:p>
            <w:pPr>
              <w:rPr>
                <w:rFonts w:ascii="宋体" w:hAnsi="宋体" w:cs="宋体"/>
                <w:szCs w:val="21"/>
              </w:rPr>
            </w:pPr>
          </w:p>
        </w:tc>
        <w:tc>
          <w:tcPr>
            <w:tcW w:w="2475" w:type="dxa"/>
            <w:vMerge w:val="continue"/>
            <w:shd w:val="clear" w:color="auto" w:fill="auto"/>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1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护坡杂树、草</w:t>
            </w:r>
          </w:p>
        </w:tc>
        <w:tc>
          <w:tcPr>
            <w:tcW w:w="16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长满不知名杂树、草</w:t>
            </w:r>
          </w:p>
        </w:tc>
        <w:tc>
          <w:tcPr>
            <w:tcW w:w="112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平方米</w:t>
            </w:r>
          </w:p>
        </w:tc>
        <w:tc>
          <w:tcPr>
            <w:tcW w:w="870" w:type="dxa"/>
            <w:shd w:val="clear" w:color="auto" w:fill="auto"/>
            <w:vAlign w:val="center"/>
          </w:tcPr>
          <w:p>
            <w:pPr>
              <w:widowControl/>
              <w:jc w:val="center"/>
              <w:rPr>
                <w:rFonts w:ascii="宋体" w:hAnsi="宋体" w:cs="宋体"/>
                <w:szCs w:val="21"/>
              </w:rPr>
            </w:pPr>
            <w:r>
              <w:rPr>
                <w:rFonts w:hint="eastAsia" w:ascii="宋体" w:hAnsi="宋体" w:cs="宋体"/>
                <w:kern w:val="0"/>
                <w:szCs w:val="21"/>
              </w:rPr>
              <w:t>2000</w:t>
            </w:r>
          </w:p>
        </w:tc>
        <w:tc>
          <w:tcPr>
            <w:tcW w:w="810" w:type="dxa"/>
            <w:shd w:val="clear" w:color="auto" w:fill="auto"/>
          </w:tcPr>
          <w:p>
            <w:pPr>
              <w:rPr>
                <w:rFonts w:ascii="宋体" w:hAnsi="宋体" w:cs="宋体"/>
                <w:szCs w:val="21"/>
              </w:rPr>
            </w:pPr>
          </w:p>
        </w:tc>
        <w:tc>
          <w:tcPr>
            <w:tcW w:w="795" w:type="dxa"/>
            <w:shd w:val="clear" w:color="auto" w:fill="auto"/>
          </w:tcPr>
          <w:p>
            <w:pPr>
              <w:rPr>
                <w:rFonts w:ascii="宋体" w:hAnsi="宋体" w:cs="宋体"/>
                <w:szCs w:val="21"/>
              </w:rPr>
            </w:pPr>
          </w:p>
        </w:tc>
        <w:tc>
          <w:tcPr>
            <w:tcW w:w="2475" w:type="dxa"/>
            <w:vMerge w:val="continue"/>
            <w:shd w:val="clear" w:color="auto" w:fill="auto"/>
          </w:tcPr>
          <w:p>
            <w:pPr>
              <w:rPr>
                <w:rFonts w:ascii="宋体" w:hAnsi="宋体" w:cs="宋体"/>
                <w:szCs w:val="21"/>
              </w:rPr>
            </w:pPr>
          </w:p>
        </w:tc>
      </w:tr>
    </w:tbl>
    <w:p>
      <w:pPr>
        <w:autoSpaceDE w:val="0"/>
        <w:autoSpaceDN w:val="0"/>
        <w:spacing w:line="460" w:lineRule="exact"/>
        <w:rPr>
          <w:rFonts w:ascii="宋体" w:hAnsi="宋体" w:cs="宋体"/>
          <w:szCs w:val="21"/>
        </w:rPr>
      </w:pPr>
    </w:p>
    <w:bookmarkEnd w:id="344"/>
    <w:bookmarkEnd w:id="345"/>
    <w:bookmarkEnd w:id="346"/>
    <w:bookmarkEnd w:id="347"/>
    <w:bookmarkEnd w:id="348"/>
    <w:p>
      <w:pPr>
        <w:pStyle w:val="95"/>
        <w:keepNext w:val="0"/>
        <w:keepLines w:val="0"/>
        <w:jc w:val="left"/>
      </w:pPr>
      <w:bookmarkStart w:id="349" w:name="_Toc499830113"/>
      <w:bookmarkStart w:id="350" w:name="_Toc152045774"/>
      <w:bookmarkStart w:id="351" w:name="_Toc499821570"/>
      <w:bookmarkStart w:id="352" w:name="_Toc227984067"/>
      <w:bookmarkStart w:id="353" w:name="_Toc152042556"/>
      <w:bookmarkStart w:id="354" w:name="_Toc144974836"/>
      <w:r>
        <w:rPr>
          <w:rFonts w:hint="eastAsia"/>
        </w:rPr>
        <w:t>2. 投标报价说明</w:t>
      </w:r>
      <w:bookmarkEnd w:id="349"/>
      <w:bookmarkEnd w:id="350"/>
      <w:bookmarkEnd w:id="351"/>
      <w:bookmarkEnd w:id="352"/>
      <w:bookmarkEnd w:id="353"/>
      <w:bookmarkEnd w:id="354"/>
    </w:p>
    <w:p>
      <w:pPr>
        <w:spacing w:line="400" w:lineRule="exact"/>
      </w:pPr>
      <w:r>
        <w:rPr>
          <w:rFonts w:hint="eastAsia"/>
        </w:rPr>
        <w:t>2.1 工程量清单中的每一子目须填入单价或价格，且只允许有一个报价。</w:t>
      </w:r>
    </w:p>
    <w:p>
      <w:pPr>
        <w:spacing w:line="400" w:lineRule="exact"/>
      </w:pPr>
      <w:r>
        <w:rPr>
          <w:rFonts w:hint="eastAsia"/>
        </w:rPr>
        <w:t>2.2 工程量清单中标价的单价或金额，应包括所需人工费、施工机械使用费、材料费、其他（运杂费、质检费、安装费、缺陷修复费、保险费，以及合同明示或暗示的风险、责任和义务等），以及管理费、利润等。</w:t>
      </w:r>
    </w:p>
    <w:p>
      <w:pPr>
        <w:spacing w:line="400" w:lineRule="exact"/>
      </w:pPr>
      <w:r>
        <w:rPr>
          <w:rFonts w:hint="eastAsia"/>
        </w:rPr>
        <w:t>2.3 工程量清单中投标人没有填入单价或价格的子目，其费用视为已分摊在工程量清单中其他相关子目的单价或价格之中。</w:t>
      </w:r>
    </w:p>
    <w:p>
      <w:pPr>
        <w:pStyle w:val="2"/>
        <w:spacing w:before="120" w:after="120" w:line="400" w:lineRule="exact"/>
        <w:jc w:val="center"/>
        <w:rPr>
          <w:rFonts w:ascii="黑体" w:hAnsi="黑体" w:eastAsia="黑体"/>
          <w:b w:val="0"/>
          <w:sz w:val="32"/>
        </w:rPr>
      </w:pPr>
      <w:bookmarkStart w:id="355" w:name="_Toc152045782"/>
      <w:bookmarkStart w:id="356" w:name="_Toc499830117"/>
      <w:bookmarkStart w:id="357" w:name="_Toc144974851"/>
      <w:bookmarkStart w:id="358" w:name="_Toc152042571"/>
      <w:bookmarkStart w:id="359" w:name="_Toc227984070"/>
      <w:r>
        <w:rPr>
          <w:rFonts w:ascii="黑体" w:hAnsi="黑体" w:eastAsia="黑体"/>
          <w:sz w:val="32"/>
          <w:szCs w:val="32"/>
        </w:rPr>
        <w:br w:type="page"/>
      </w:r>
      <w:bookmarkEnd w:id="355"/>
      <w:bookmarkEnd w:id="356"/>
      <w:bookmarkEnd w:id="357"/>
      <w:bookmarkEnd w:id="358"/>
      <w:bookmarkEnd w:id="359"/>
      <w:bookmarkStart w:id="360" w:name="_Toc227984074"/>
      <w:bookmarkStart w:id="361" w:name="_Toc152045786"/>
      <w:bookmarkStart w:id="362" w:name="_Toc152042575"/>
      <w:bookmarkStart w:id="363" w:name="_Toc499830118"/>
      <w:bookmarkStart w:id="364" w:name="_Toc144974855"/>
      <w:r>
        <w:rPr>
          <w:rFonts w:hint="eastAsia" w:ascii="黑体" w:hAnsi="黑体" w:eastAsia="黑体"/>
          <w:b w:val="0"/>
          <w:sz w:val="32"/>
        </w:rPr>
        <w:t>第六章  投标文件格式</w:t>
      </w:r>
      <w:bookmarkEnd w:id="360"/>
      <w:bookmarkEnd w:id="361"/>
      <w:bookmarkEnd w:id="362"/>
      <w:bookmarkEnd w:id="363"/>
      <w:bookmarkEnd w:id="364"/>
    </w:p>
    <w:p>
      <w:pPr>
        <w:spacing w:line="440" w:lineRule="exact"/>
        <w:rPr>
          <w:rFonts w:eastAsia="黑体"/>
          <w:sz w:val="20"/>
        </w:rPr>
      </w:pPr>
    </w:p>
    <w:p>
      <w:pPr>
        <w:spacing w:line="440" w:lineRule="exact"/>
        <w:rPr>
          <w:rFonts w:eastAsia="黑体"/>
          <w:sz w:val="20"/>
        </w:rPr>
      </w:pPr>
    </w:p>
    <w:p>
      <w:pPr>
        <w:jc w:val="center"/>
        <w:rPr>
          <w:rFonts w:ascii="方正小标宋_GBK" w:hAnsi="宋体" w:eastAsia="方正小标宋_GBK"/>
          <w:sz w:val="44"/>
          <w:szCs w:val="44"/>
        </w:rPr>
      </w:pPr>
      <w:r>
        <w:rPr>
          <w:rFonts w:hint="eastAsia" w:ascii="方正小标宋_GBK" w:hAnsi="宋体" w:eastAsia="方正小标宋_GBK"/>
          <w:sz w:val="44"/>
          <w:szCs w:val="44"/>
        </w:rPr>
        <w:t>投 标 文 件</w:t>
      </w:r>
    </w:p>
    <w:p>
      <w:pPr>
        <w:jc w:val="center"/>
        <w:rPr>
          <w:rFonts w:ascii="宋体" w:hAnsi="宋体"/>
          <w:sz w:val="36"/>
          <w:szCs w:val="36"/>
        </w:rPr>
      </w:pPr>
      <w:r>
        <w:rPr>
          <w:rFonts w:hint="eastAsia" w:ascii="宋体" w:hAnsi="宋体"/>
          <w:sz w:val="36"/>
          <w:szCs w:val="36"/>
        </w:rPr>
        <w:t>【正/副本】</w:t>
      </w: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rPr>
          <w:rFonts w:ascii="宋体" w:hAnsi="宋体"/>
          <w:b/>
          <w:sz w:val="32"/>
          <w:szCs w:val="32"/>
        </w:rPr>
      </w:pPr>
      <w:r>
        <w:rPr>
          <w:rFonts w:hint="eastAsia" w:ascii="宋体" w:hAnsi="宋体"/>
          <w:b/>
          <w:szCs w:val="21"/>
        </w:rPr>
        <w:t xml:space="preserve">   </w:t>
      </w:r>
      <w:r>
        <w:rPr>
          <w:rFonts w:hint="eastAsia" w:ascii="宋体" w:hAnsi="宋体"/>
          <w:b/>
          <w:sz w:val="32"/>
          <w:szCs w:val="32"/>
        </w:rPr>
        <w:t xml:space="preserve">     采购编号：</w:t>
      </w:r>
    </w:p>
    <w:p>
      <w:pPr>
        <w:ind w:firstLine="1124" w:firstLineChars="350"/>
        <w:rPr>
          <w:rFonts w:ascii="宋体" w:hAnsi="宋体"/>
          <w:b/>
          <w:sz w:val="32"/>
          <w:szCs w:val="32"/>
        </w:rPr>
      </w:pPr>
      <w:r>
        <w:rPr>
          <w:rFonts w:hint="eastAsia" w:ascii="宋体" w:hAnsi="宋体"/>
          <w:b/>
          <w:sz w:val="32"/>
          <w:szCs w:val="32"/>
        </w:rPr>
        <w:t>项目名称：</w:t>
      </w:r>
    </w:p>
    <w:p>
      <w:pPr>
        <w:rPr>
          <w:rFonts w:ascii="宋体" w:hAnsi="宋体"/>
          <w:b/>
          <w:sz w:val="32"/>
          <w:szCs w:val="32"/>
        </w:rPr>
      </w:pPr>
      <w:r>
        <w:rPr>
          <w:rFonts w:hint="eastAsia" w:ascii="宋体" w:hAnsi="宋体"/>
          <w:b/>
          <w:sz w:val="32"/>
          <w:szCs w:val="32"/>
        </w:rPr>
        <w:t xml:space="preserve">     </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tabs>
          <w:tab w:val="left" w:pos="6465"/>
        </w:tabs>
        <w:rPr>
          <w:rFonts w:ascii="宋体" w:hAnsi="宋体"/>
          <w:b/>
          <w:szCs w:val="21"/>
        </w:rPr>
      </w:pPr>
      <w:r>
        <w:rPr>
          <w:rFonts w:ascii="宋体" w:hAnsi="宋体"/>
          <w:b/>
          <w:szCs w:val="21"/>
        </w:rPr>
        <w:tab/>
      </w:r>
    </w:p>
    <w:p>
      <w:pPr>
        <w:ind w:firstLine="1500" w:firstLineChars="500"/>
        <w:rPr>
          <w:rFonts w:ascii="宋体" w:hAnsi="宋体"/>
          <w:sz w:val="30"/>
          <w:szCs w:val="30"/>
        </w:rPr>
      </w:pPr>
      <w:r>
        <w:rPr>
          <w:rFonts w:hint="eastAsia" w:ascii="宋体" w:hAnsi="宋体"/>
          <w:sz w:val="30"/>
          <w:szCs w:val="30"/>
        </w:rPr>
        <w:t>投标供应商（全称）：</w:t>
      </w:r>
    </w:p>
    <w:p>
      <w:pPr>
        <w:ind w:firstLine="1500" w:firstLineChars="500"/>
        <w:rPr>
          <w:rFonts w:ascii="宋体" w:hAnsi="宋体"/>
          <w:sz w:val="30"/>
          <w:szCs w:val="30"/>
        </w:rPr>
      </w:pPr>
      <w:r>
        <w:rPr>
          <w:rFonts w:hint="eastAsia" w:ascii="宋体" w:hAnsi="宋体"/>
          <w:sz w:val="30"/>
          <w:szCs w:val="30"/>
        </w:rPr>
        <w:t>授权代表：</w:t>
      </w:r>
    </w:p>
    <w:p>
      <w:pPr>
        <w:ind w:firstLine="1500" w:firstLineChars="500"/>
        <w:rPr>
          <w:rFonts w:ascii="宋体" w:hAnsi="宋体"/>
          <w:sz w:val="30"/>
          <w:szCs w:val="30"/>
        </w:rPr>
      </w:pPr>
      <w:r>
        <w:rPr>
          <w:rFonts w:hint="eastAsia" w:ascii="宋体" w:hAnsi="宋体"/>
          <w:sz w:val="30"/>
          <w:szCs w:val="30"/>
        </w:rPr>
        <w:t>联系电话：</w:t>
      </w:r>
    </w:p>
    <w:p>
      <w:pPr>
        <w:ind w:firstLine="1500" w:firstLineChars="500"/>
        <w:rPr>
          <w:rFonts w:ascii="宋体" w:hAnsi="宋体"/>
          <w:sz w:val="30"/>
          <w:szCs w:val="30"/>
        </w:rPr>
      </w:pPr>
      <w:r>
        <w:rPr>
          <w:rFonts w:hint="eastAsia" w:ascii="宋体" w:hAnsi="宋体"/>
          <w:sz w:val="30"/>
          <w:szCs w:val="30"/>
        </w:rPr>
        <w:t>日    期：</w:t>
      </w:r>
    </w:p>
    <w:p>
      <w:pPr>
        <w:jc w:val="center"/>
        <w:rPr>
          <w:rFonts w:ascii="宋体" w:hAnsi="宋体"/>
          <w:szCs w:val="21"/>
        </w:rPr>
      </w:pPr>
    </w:p>
    <w:p>
      <w:pPr>
        <w:rPr>
          <w:rFonts w:ascii="宋体" w:hAnsi="宋体"/>
          <w:szCs w:val="21"/>
        </w:rPr>
      </w:pPr>
    </w:p>
    <w:p>
      <w:pPr>
        <w:spacing w:line="400" w:lineRule="exact"/>
      </w:pPr>
    </w:p>
    <w:p>
      <w:pPr>
        <w:jc w:val="center"/>
        <w:rPr>
          <w:rFonts w:ascii="宋体" w:hAnsi="宋体"/>
          <w:b/>
          <w:sz w:val="32"/>
          <w:szCs w:val="32"/>
        </w:rPr>
      </w:pPr>
      <w:r>
        <w:rPr>
          <w:rFonts w:hint="eastAsia" w:ascii="宋体" w:hAnsi="宋体"/>
          <w:b/>
          <w:sz w:val="32"/>
          <w:szCs w:val="32"/>
        </w:rPr>
        <w:t>目  录</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811"/>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b/>
                <w:sz w:val="24"/>
                <w:szCs w:val="24"/>
              </w:rPr>
            </w:pPr>
            <w:r>
              <w:rPr>
                <w:rFonts w:hint="eastAsia" w:ascii="宋体" w:hAnsi="宋体"/>
                <w:b/>
                <w:sz w:val="24"/>
                <w:szCs w:val="24"/>
              </w:rPr>
              <w:t>序号</w:t>
            </w:r>
          </w:p>
        </w:tc>
        <w:tc>
          <w:tcPr>
            <w:tcW w:w="5811" w:type="dxa"/>
          </w:tcPr>
          <w:p>
            <w:pPr>
              <w:jc w:val="center"/>
              <w:rPr>
                <w:rFonts w:ascii="宋体" w:hAnsi="宋体"/>
                <w:b/>
                <w:sz w:val="24"/>
                <w:szCs w:val="24"/>
              </w:rPr>
            </w:pPr>
            <w:r>
              <w:rPr>
                <w:rFonts w:hint="eastAsia" w:ascii="宋体" w:hAnsi="宋体"/>
                <w:b/>
                <w:sz w:val="24"/>
                <w:szCs w:val="24"/>
              </w:rPr>
              <w:t>内容</w:t>
            </w:r>
          </w:p>
        </w:tc>
        <w:tc>
          <w:tcPr>
            <w:tcW w:w="1610" w:type="dxa"/>
          </w:tcPr>
          <w:p>
            <w:pPr>
              <w:jc w:val="center"/>
              <w:rPr>
                <w:rFonts w:ascii="宋体" w:hAnsi="宋体"/>
                <w:b/>
                <w:sz w:val="24"/>
                <w:szCs w:val="24"/>
              </w:rPr>
            </w:pPr>
            <w:r>
              <w:rPr>
                <w:rFonts w:hint="eastAsia" w:ascii="宋体" w:hAnsi="宋体"/>
                <w:b/>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Pr>
          <w:p>
            <w:pPr>
              <w:jc w:val="center"/>
              <w:rPr>
                <w:rFonts w:ascii="宋体" w:hAnsi="宋体"/>
                <w:sz w:val="24"/>
                <w:szCs w:val="24"/>
              </w:rPr>
            </w:pPr>
            <w:r>
              <w:rPr>
                <w:rFonts w:hint="eastAsia" w:ascii="宋体" w:hAnsi="宋体"/>
                <w:sz w:val="24"/>
                <w:szCs w:val="24"/>
              </w:rPr>
              <w:t>评分项材料</w:t>
            </w:r>
          </w:p>
        </w:tc>
        <w:tc>
          <w:tcPr>
            <w:tcW w:w="1610" w:type="dxa"/>
          </w:tcPr>
          <w:p>
            <w:pPr>
              <w:jc w:val="center"/>
              <w:rPr>
                <w:rFonts w:ascii="宋体" w:hAnsi="宋体"/>
                <w:sz w:val="24"/>
                <w:szCs w:val="24"/>
              </w:rPr>
            </w:pPr>
            <w:r>
              <w:rPr>
                <w:rFonts w:hint="eastAsia" w:ascii="宋体" w:hAnsi="宋体"/>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Pr>
          <w:p>
            <w:pPr>
              <w:jc w:val="center"/>
              <w:rPr>
                <w:rFonts w:ascii="宋体" w:hAnsi="宋体"/>
                <w:sz w:val="24"/>
                <w:szCs w:val="24"/>
              </w:rPr>
            </w:pPr>
            <w:r>
              <w:rPr>
                <w:rFonts w:hint="eastAsia" w:ascii="宋体" w:hAnsi="宋体"/>
                <w:sz w:val="24"/>
                <w:szCs w:val="24"/>
              </w:rPr>
              <w:t>资格证明材料</w:t>
            </w:r>
          </w:p>
        </w:tc>
        <w:tc>
          <w:tcPr>
            <w:tcW w:w="1610" w:type="dxa"/>
          </w:tcPr>
          <w:p>
            <w:pPr>
              <w:jc w:val="center"/>
              <w:rPr>
                <w:rFonts w:ascii="宋体" w:hAnsi="宋体"/>
                <w:sz w:val="24"/>
                <w:szCs w:val="24"/>
              </w:rPr>
            </w:pPr>
            <w:r>
              <w:rPr>
                <w:rFonts w:hint="eastAsia" w:ascii="宋体" w:hAnsi="宋体"/>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Pr>
          <w:p>
            <w:pPr>
              <w:jc w:val="center"/>
              <w:rPr>
                <w:rFonts w:ascii="宋体" w:hAnsi="宋体"/>
                <w:sz w:val="24"/>
                <w:szCs w:val="24"/>
              </w:rPr>
            </w:pPr>
            <w:r>
              <w:rPr>
                <w:rFonts w:hint="eastAsia" w:ascii="宋体" w:hAnsi="宋体"/>
                <w:sz w:val="24"/>
                <w:szCs w:val="24"/>
              </w:rPr>
              <w:t>其他材料</w:t>
            </w:r>
          </w:p>
        </w:tc>
        <w:tc>
          <w:tcPr>
            <w:tcW w:w="1610" w:type="dxa"/>
          </w:tcPr>
          <w:p>
            <w:pPr>
              <w:jc w:val="center"/>
              <w:rPr>
                <w:rFonts w:ascii="宋体" w:hAnsi="宋体"/>
                <w:sz w:val="24"/>
                <w:szCs w:val="24"/>
              </w:rPr>
            </w:pPr>
            <w:r>
              <w:rPr>
                <w:rFonts w:hint="eastAsia" w:ascii="宋体" w:hAnsi="宋体"/>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hAnsi="宋体"/>
                <w:sz w:val="24"/>
                <w:szCs w:val="24"/>
              </w:rPr>
            </w:pPr>
          </w:p>
        </w:tc>
        <w:tc>
          <w:tcPr>
            <w:tcW w:w="5811" w:type="dxa"/>
          </w:tcPr>
          <w:p>
            <w:pPr>
              <w:jc w:val="center"/>
              <w:rPr>
                <w:rFonts w:ascii="宋体" w:hAnsi="宋体"/>
                <w:sz w:val="24"/>
                <w:szCs w:val="24"/>
              </w:rPr>
            </w:pPr>
          </w:p>
        </w:tc>
        <w:tc>
          <w:tcPr>
            <w:tcW w:w="1610" w:type="dxa"/>
          </w:tcPr>
          <w:p>
            <w:pPr>
              <w:jc w:val="center"/>
              <w:rPr>
                <w:rFonts w:ascii="宋体" w:hAnsi="宋体"/>
                <w:sz w:val="24"/>
                <w:szCs w:val="24"/>
              </w:rPr>
            </w:pPr>
          </w:p>
        </w:tc>
      </w:tr>
    </w:tbl>
    <w:p>
      <w:pPr>
        <w:rPr>
          <w:rFonts w:ascii="宋体" w:hAnsi="宋体"/>
          <w:sz w:val="24"/>
          <w:szCs w:val="24"/>
        </w:rPr>
      </w:pPr>
      <w:r>
        <w:rPr>
          <w:rFonts w:hint="eastAsia" w:ascii="宋体" w:hAnsi="宋体"/>
          <w:sz w:val="24"/>
          <w:szCs w:val="24"/>
        </w:rPr>
        <w:t>1、请投标供应商编制目录及页码，否则可能将影响对响应文件的评价。</w:t>
      </w:r>
    </w:p>
    <w:p>
      <w:pPr>
        <w:rPr>
          <w:rFonts w:ascii="宋体" w:hAnsi="宋体"/>
          <w:sz w:val="24"/>
          <w:szCs w:val="24"/>
        </w:rPr>
      </w:pPr>
      <w:r>
        <w:rPr>
          <w:rFonts w:hint="eastAsia" w:ascii="宋体" w:hAnsi="宋体"/>
          <w:sz w:val="24"/>
          <w:szCs w:val="24"/>
        </w:rPr>
        <w:t>2、此表为参考格式，行数不够可自行增加，所有投标响应材料必须有对应页码。</w:t>
      </w:r>
    </w:p>
    <w:p>
      <w:pPr>
        <w:jc w:val="center"/>
        <w:rPr>
          <w:rFonts w:ascii="宋体" w:hAnsi="宋体"/>
          <w:szCs w:val="21"/>
        </w:rPr>
      </w:pPr>
    </w:p>
    <w:p>
      <w:pPr>
        <w:spacing w:line="540" w:lineRule="exact"/>
        <w:rPr>
          <w:rFonts w:eastAsia="黑体"/>
          <w:sz w:val="20"/>
        </w:rPr>
      </w:pPr>
    </w:p>
    <w:p>
      <w:pPr>
        <w:spacing w:line="540" w:lineRule="exact"/>
        <w:rPr>
          <w:rFonts w:eastAsia="黑体"/>
          <w:sz w:val="20"/>
        </w:rPr>
      </w:pPr>
    </w:p>
    <w:p>
      <w:pPr>
        <w:spacing w:line="540" w:lineRule="exact"/>
        <w:rPr>
          <w:rFonts w:eastAsia="黑体"/>
          <w:sz w:val="20"/>
        </w:rPr>
      </w:pPr>
    </w:p>
    <w:p>
      <w:pPr>
        <w:spacing w:line="540" w:lineRule="exact"/>
        <w:rPr>
          <w:rFonts w:eastAsia="黑体"/>
          <w:sz w:val="20"/>
        </w:rPr>
      </w:pPr>
    </w:p>
    <w:p>
      <w:pPr>
        <w:spacing w:line="540" w:lineRule="exact"/>
        <w:rPr>
          <w:rFonts w:eastAsia="黑体"/>
          <w:sz w:val="20"/>
        </w:rPr>
      </w:pPr>
    </w:p>
    <w:p>
      <w:pPr>
        <w:pStyle w:val="3"/>
        <w:spacing w:line="240" w:lineRule="auto"/>
        <w:jc w:val="center"/>
      </w:pPr>
      <w:bookmarkStart w:id="365" w:name="_Toc152045788"/>
      <w:bookmarkStart w:id="366" w:name="_Toc499821578"/>
      <w:bookmarkStart w:id="367" w:name="_Toc227984076"/>
      <w:bookmarkStart w:id="368" w:name="_Toc152042577"/>
      <w:bookmarkStart w:id="369" w:name="_Toc499830120"/>
      <w:bookmarkStart w:id="370" w:name="_Toc144974857"/>
      <w:r>
        <w:t>一</w:t>
      </w:r>
      <w:bookmarkEnd w:id="365"/>
      <w:bookmarkEnd w:id="366"/>
      <w:bookmarkEnd w:id="367"/>
      <w:bookmarkEnd w:id="368"/>
      <w:bookmarkEnd w:id="369"/>
      <w:bookmarkEnd w:id="370"/>
      <w:bookmarkStart w:id="371" w:name="_Toc521019056"/>
      <w:bookmarkStart w:id="372" w:name="_Toc479456129"/>
      <w:bookmarkStart w:id="373" w:name="_Toc449539282"/>
      <w:r>
        <w:rPr>
          <w:rFonts w:hint="eastAsia"/>
        </w:rPr>
        <w:t>、</w:t>
      </w:r>
      <w:r>
        <w:rPr>
          <w:rFonts w:hint="eastAsia"/>
          <w:sz w:val="28"/>
          <w:szCs w:val="28"/>
        </w:rPr>
        <w:t>投标函、投标报价及项目相关文件</w:t>
      </w:r>
      <w:bookmarkEnd w:id="371"/>
      <w:bookmarkEnd w:id="372"/>
      <w:bookmarkEnd w:id="373"/>
    </w:p>
    <w:p>
      <w:pPr>
        <w:pStyle w:val="4"/>
        <w:spacing w:line="240" w:lineRule="auto"/>
        <w:jc w:val="center"/>
        <w:rPr>
          <w:rFonts w:ascii="宋体" w:hAnsi="宋体"/>
          <w:sz w:val="28"/>
          <w:szCs w:val="28"/>
        </w:rPr>
      </w:pPr>
      <w:bookmarkStart w:id="374" w:name="_Toc449539283"/>
      <w:bookmarkStart w:id="375" w:name="_Toc521019057"/>
      <w:r>
        <w:rPr>
          <w:rFonts w:hint="eastAsia" w:ascii="宋体" w:hAnsi="宋体"/>
          <w:sz w:val="28"/>
          <w:szCs w:val="28"/>
        </w:rPr>
        <w:t>1.投标函</w:t>
      </w:r>
      <w:bookmarkEnd w:id="374"/>
      <w:bookmarkEnd w:id="375"/>
    </w:p>
    <w:p>
      <w:pPr>
        <w:widowControl/>
        <w:snapToGrid w:val="0"/>
        <w:spacing w:before="19"/>
        <w:rPr>
          <w:rFonts w:ascii="宋体" w:hAnsi="宋体" w:cs="新宋体"/>
          <w:sz w:val="28"/>
          <w:szCs w:val="28"/>
        </w:rPr>
      </w:pPr>
      <w:r>
        <w:rPr>
          <w:rFonts w:hint="eastAsia" w:ascii="宋体" w:hAnsi="宋体" w:cs="新宋体"/>
          <w:sz w:val="28"/>
          <w:szCs w:val="28"/>
        </w:rPr>
        <w:t>江苏有道招标代理有限公司：</w:t>
      </w:r>
    </w:p>
    <w:p>
      <w:pPr>
        <w:snapToGrid w:val="0"/>
        <w:ind w:firstLine="560" w:firstLineChars="200"/>
        <w:rPr>
          <w:rFonts w:ascii="宋体" w:hAnsi="宋体" w:cs="新宋体"/>
          <w:sz w:val="28"/>
          <w:szCs w:val="28"/>
        </w:rPr>
      </w:pPr>
      <w:r>
        <w:rPr>
          <w:rFonts w:hint="eastAsia" w:ascii="宋体" w:hAnsi="宋体" w:cs="新宋体"/>
          <w:sz w:val="28"/>
          <w:szCs w:val="28"/>
        </w:rPr>
        <w:t>贵单位发布的南京特殊教育师范学院</w:t>
      </w:r>
      <w:r>
        <w:rPr>
          <w:rFonts w:hint="eastAsia" w:ascii="宋体" w:hAnsi="宋体" w:cs="新宋体"/>
          <w:sz w:val="28"/>
          <w:szCs w:val="28"/>
          <w:u w:val="single"/>
        </w:rPr>
        <w:t>南京特殊教育师范学院燕子矶校区树木修剪服务项目（采购编号为：      ）的</w:t>
      </w:r>
      <w:r>
        <w:rPr>
          <w:rFonts w:hint="eastAsia" w:ascii="宋体" w:hAnsi="宋体" w:cs="新宋体"/>
          <w:sz w:val="28"/>
          <w:szCs w:val="28"/>
        </w:rPr>
        <w:t>招标文件（包括更正公告，如果有的话）收悉，我们经详细审阅和研究，现决定参加投标。</w:t>
      </w:r>
    </w:p>
    <w:p>
      <w:pPr>
        <w:widowControl/>
        <w:snapToGrid w:val="0"/>
        <w:spacing w:before="19"/>
        <w:ind w:firstLine="644" w:firstLineChars="230"/>
        <w:rPr>
          <w:rFonts w:ascii="宋体" w:hAnsi="宋体" w:cs="新宋体"/>
          <w:sz w:val="28"/>
          <w:szCs w:val="28"/>
        </w:rPr>
      </w:pPr>
      <w:r>
        <w:rPr>
          <w:rFonts w:hint="eastAsia" w:ascii="宋体" w:hAnsi="宋体" w:cs="新宋体"/>
          <w:sz w:val="28"/>
          <w:szCs w:val="28"/>
        </w:rPr>
        <w:t>1、我们郑重承诺：我们是符合《政府采购法》第22条规定的供应商，并严格遵守《政府采购法》第77条的规定，本投标文件中提供的所有材料均是真实有效的。</w:t>
      </w:r>
    </w:p>
    <w:p>
      <w:pPr>
        <w:snapToGrid w:val="0"/>
        <w:rPr>
          <w:rFonts w:ascii="宋体" w:hAnsi="宋体" w:cs="新宋体"/>
          <w:sz w:val="28"/>
          <w:szCs w:val="28"/>
        </w:rPr>
      </w:pPr>
      <w:r>
        <w:rPr>
          <w:rFonts w:hint="eastAsia" w:ascii="宋体" w:hAnsi="宋体" w:cs="新宋体"/>
          <w:sz w:val="28"/>
          <w:szCs w:val="28"/>
        </w:rPr>
        <w:t xml:space="preserve">     2、我们接受采购文件的所有的条款和规定。</w:t>
      </w:r>
    </w:p>
    <w:p>
      <w:pPr>
        <w:snapToGrid w:val="0"/>
        <w:rPr>
          <w:rFonts w:ascii="宋体" w:hAnsi="宋体" w:cs="新宋体"/>
          <w:sz w:val="28"/>
          <w:szCs w:val="28"/>
        </w:rPr>
      </w:pPr>
      <w:r>
        <w:rPr>
          <w:rFonts w:hint="eastAsia" w:ascii="宋体" w:hAnsi="宋体" w:cs="新宋体"/>
          <w:sz w:val="28"/>
          <w:szCs w:val="28"/>
        </w:rPr>
        <w:t xml:space="preserve">     3、我们同意按照本采购文件第一章“投标（响应）供应商须知”第3.5条的规定，本投标文件的有效期为从开标之日起计算的90天，在此期间，本投标文件将始终对我们具有约束力，并可随时被接受。如果我们被确定为中标供应商，本投标文件在此期间之后将继续保持有效。</w:t>
      </w:r>
    </w:p>
    <w:p>
      <w:pPr>
        <w:snapToGrid w:val="0"/>
        <w:rPr>
          <w:rFonts w:ascii="宋体" w:hAnsi="宋体" w:cs="新宋体"/>
          <w:sz w:val="28"/>
          <w:szCs w:val="28"/>
        </w:rPr>
      </w:pPr>
      <w:r>
        <w:rPr>
          <w:rFonts w:hint="eastAsia" w:ascii="宋体" w:hAnsi="宋体" w:cs="新宋体"/>
          <w:sz w:val="28"/>
          <w:szCs w:val="28"/>
        </w:rPr>
        <w:t xml:space="preserve">     4、我们同意提供招标人要求的有关本次采购的所有资料。</w:t>
      </w:r>
    </w:p>
    <w:p>
      <w:pPr>
        <w:snapToGrid w:val="0"/>
        <w:rPr>
          <w:rFonts w:ascii="宋体" w:hAnsi="宋体" w:cs="新宋体"/>
          <w:sz w:val="28"/>
          <w:szCs w:val="28"/>
        </w:rPr>
      </w:pPr>
      <w:r>
        <w:rPr>
          <w:rFonts w:hint="eastAsia" w:ascii="宋体" w:hAnsi="宋体" w:cs="新宋体"/>
          <w:sz w:val="28"/>
          <w:szCs w:val="28"/>
        </w:rPr>
        <w:t xml:space="preserve">     5、我们理解，你们无义务必须接受投标报价最低的投标，并有权拒绝所有的投标。同时也理解你们不承担我们本次投标的费用。</w:t>
      </w:r>
    </w:p>
    <w:p>
      <w:pPr>
        <w:snapToGrid w:val="0"/>
        <w:ind w:firstLine="663" w:firstLineChars="237"/>
        <w:rPr>
          <w:rFonts w:ascii="宋体" w:hAnsi="宋体" w:cs="新宋体"/>
          <w:sz w:val="28"/>
          <w:szCs w:val="28"/>
        </w:rPr>
      </w:pPr>
      <w:r>
        <w:rPr>
          <w:rFonts w:hint="eastAsia" w:ascii="宋体" w:hAnsi="宋体" w:cs="新宋体"/>
          <w:sz w:val="28"/>
          <w:szCs w:val="28"/>
        </w:rPr>
        <w:t>6、如果我们被确定为中标供应商，为执行合同，我们将按投标供应商须知有关要求提供必要的履约保证。</w:t>
      </w:r>
    </w:p>
    <w:p>
      <w:pPr>
        <w:snapToGrid w:val="0"/>
        <w:ind w:firstLine="3360" w:firstLineChars="1200"/>
        <w:rPr>
          <w:rFonts w:ascii="宋体" w:hAnsi="宋体" w:cs="新宋体"/>
          <w:sz w:val="28"/>
          <w:szCs w:val="28"/>
        </w:rPr>
      </w:pPr>
    </w:p>
    <w:p>
      <w:pPr>
        <w:snapToGrid w:val="0"/>
        <w:ind w:firstLine="3360" w:firstLineChars="1200"/>
        <w:rPr>
          <w:rFonts w:ascii="宋体" w:hAnsi="宋体" w:cs="新宋体"/>
          <w:sz w:val="28"/>
          <w:szCs w:val="28"/>
        </w:rPr>
      </w:pPr>
    </w:p>
    <w:p>
      <w:pPr>
        <w:snapToGrid w:val="0"/>
        <w:ind w:firstLine="3360" w:firstLineChars="1200"/>
        <w:rPr>
          <w:rFonts w:ascii="宋体" w:hAnsi="宋体" w:cs="新宋体"/>
          <w:sz w:val="28"/>
          <w:szCs w:val="28"/>
        </w:rPr>
      </w:pPr>
      <w:r>
        <w:rPr>
          <w:rFonts w:hint="eastAsia" w:ascii="宋体" w:hAnsi="宋体" w:cs="新宋体"/>
          <w:sz w:val="28"/>
          <w:szCs w:val="28"/>
        </w:rPr>
        <w:t>投标供应商名称：</w:t>
      </w:r>
      <w:r>
        <w:rPr>
          <w:rFonts w:hint="eastAsia" w:ascii="宋体" w:hAnsi="宋体" w:cs="新宋体"/>
          <w:sz w:val="28"/>
          <w:szCs w:val="28"/>
          <w:u w:val="single"/>
        </w:rPr>
        <w:t xml:space="preserve">          （公章）</w:t>
      </w:r>
    </w:p>
    <w:p>
      <w:pPr>
        <w:snapToGrid w:val="0"/>
        <w:rPr>
          <w:rFonts w:ascii="宋体" w:hAnsi="宋体" w:cs="新宋体"/>
          <w:sz w:val="28"/>
          <w:szCs w:val="28"/>
          <w:u w:val="single"/>
        </w:rPr>
      </w:pPr>
      <w:r>
        <w:rPr>
          <w:rFonts w:hint="eastAsia" w:ascii="宋体" w:hAnsi="宋体" w:cs="新宋体"/>
          <w:sz w:val="28"/>
          <w:szCs w:val="28"/>
        </w:rPr>
        <w:t xml:space="preserve">                        地址：</w:t>
      </w:r>
      <w:r>
        <w:rPr>
          <w:rFonts w:hint="eastAsia" w:ascii="宋体" w:hAnsi="宋体" w:cs="新宋体"/>
          <w:sz w:val="28"/>
          <w:szCs w:val="28"/>
          <w:u w:val="single"/>
        </w:rPr>
        <w:t xml:space="preserve">                           .</w:t>
      </w:r>
    </w:p>
    <w:p>
      <w:pPr>
        <w:snapToGrid w:val="0"/>
        <w:rPr>
          <w:rFonts w:ascii="宋体" w:hAnsi="宋体" w:cs="新宋体"/>
          <w:sz w:val="28"/>
          <w:szCs w:val="28"/>
          <w:u w:val="single"/>
        </w:rPr>
      </w:pPr>
      <w:r>
        <w:rPr>
          <w:rFonts w:hint="eastAsia" w:ascii="宋体" w:hAnsi="宋体" w:cs="新宋体"/>
          <w:sz w:val="28"/>
          <w:szCs w:val="28"/>
        </w:rPr>
        <w:t xml:space="preserve">                        电话：</w:t>
      </w:r>
      <w:r>
        <w:rPr>
          <w:rFonts w:hint="eastAsia" w:ascii="宋体" w:hAnsi="宋体" w:cs="新宋体"/>
          <w:sz w:val="28"/>
          <w:szCs w:val="28"/>
          <w:u w:val="single"/>
        </w:rPr>
        <w:t xml:space="preserve">          </w:t>
      </w:r>
      <w:r>
        <w:rPr>
          <w:rFonts w:hint="eastAsia" w:ascii="宋体" w:hAnsi="宋体" w:cs="新宋体"/>
          <w:sz w:val="28"/>
          <w:szCs w:val="28"/>
        </w:rPr>
        <w:t>邮编：</w:t>
      </w:r>
      <w:r>
        <w:rPr>
          <w:rFonts w:hint="eastAsia" w:ascii="宋体" w:hAnsi="宋体" w:cs="新宋体"/>
          <w:sz w:val="28"/>
          <w:szCs w:val="28"/>
          <w:u w:val="single"/>
        </w:rPr>
        <w:t xml:space="preserve">           .</w:t>
      </w:r>
    </w:p>
    <w:p>
      <w:pPr>
        <w:snapToGrid w:val="0"/>
        <w:rPr>
          <w:rFonts w:ascii="宋体" w:hAnsi="宋体" w:cs="新宋体"/>
          <w:sz w:val="28"/>
          <w:szCs w:val="28"/>
          <w:u w:val="single"/>
        </w:rPr>
      </w:pPr>
      <w:r>
        <w:rPr>
          <w:rFonts w:hint="eastAsia" w:ascii="宋体" w:hAnsi="宋体" w:cs="新宋体"/>
          <w:sz w:val="28"/>
          <w:szCs w:val="28"/>
        </w:rPr>
        <w:t xml:space="preserve">                        法定代表人（授权代表）（签字或盖章）：</w:t>
      </w:r>
      <w:r>
        <w:rPr>
          <w:rFonts w:hint="eastAsia" w:ascii="宋体" w:hAnsi="宋体" w:cs="新宋体"/>
          <w:sz w:val="28"/>
          <w:szCs w:val="28"/>
          <w:u w:val="single"/>
        </w:rPr>
        <w:t xml:space="preserve">  </w:t>
      </w:r>
    </w:p>
    <w:p>
      <w:pPr>
        <w:snapToGrid w:val="0"/>
        <w:rPr>
          <w:rFonts w:ascii="宋体" w:hAnsi="宋体" w:cs="新宋体"/>
          <w:sz w:val="28"/>
          <w:szCs w:val="28"/>
          <w:u w:val="single"/>
        </w:rPr>
      </w:pPr>
      <w:r>
        <w:rPr>
          <w:rFonts w:hint="eastAsia" w:ascii="宋体" w:hAnsi="宋体" w:cs="新宋体"/>
          <w:sz w:val="28"/>
          <w:szCs w:val="28"/>
        </w:rPr>
        <w:t xml:space="preserve">                        职务：</w:t>
      </w:r>
      <w:r>
        <w:rPr>
          <w:rFonts w:hint="eastAsia" w:ascii="宋体" w:hAnsi="宋体" w:cs="新宋体"/>
          <w:sz w:val="28"/>
          <w:szCs w:val="28"/>
          <w:u w:val="single"/>
        </w:rPr>
        <w:t xml:space="preserve">                  .</w:t>
      </w:r>
    </w:p>
    <w:p>
      <w:pPr>
        <w:snapToGrid w:val="0"/>
        <w:rPr>
          <w:rFonts w:ascii="宋体" w:hAnsi="宋体" w:cs="新宋体"/>
          <w:sz w:val="28"/>
          <w:szCs w:val="28"/>
          <w:u w:val="single"/>
        </w:rPr>
      </w:pPr>
      <w:r>
        <w:rPr>
          <w:rFonts w:hint="eastAsia" w:ascii="宋体" w:hAnsi="宋体" w:cs="新宋体"/>
          <w:sz w:val="28"/>
          <w:szCs w:val="28"/>
        </w:rPr>
        <w:t xml:space="preserve">                        日期：</w:t>
      </w:r>
      <w:r>
        <w:rPr>
          <w:rFonts w:hint="eastAsia" w:ascii="宋体" w:hAnsi="宋体" w:cs="新宋体"/>
          <w:sz w:val="28"/>
          <w:szCs w:val="28"/>
          <w:u w:val="single"/>
        </w:rPr>
        <w:t xml:space="preserve">                  .</w:t>
      </w:r>
    </w:p>
    <w:p>
      <w:pPr>
        <w:pStyle w:val="4"/>
        <w:spacing w:line="240" w:lineRule="auto"/>
        <w:jc w:val="center"/>
        <w:rPr>
          <w:sz w:val="28"/>
          <w:szCs w:val="28"/>
        </w:rPr>
      </w:pPr>
      <w:bookmarkStart w:id="376" w:name="_Toc403992032"/>
      <w:bookmarkStart w:id="377" w:name="_Toc464044789"/>
      <w:r>
        <w:rPr>
          <w:sz w:val="28"/>
          <w:szCs w:val="28"/>
        </w:rPr>
        <w:br w:type="page"/>
      </w:r>
      <w:bookmarkStart w:id="378" w:name="_Toc521019058"/>
      <w:r>
        <w:rPr>
          <w:rFonts w:hint="eastAsia" w:ascii="宋体" w:hAnsi="宋体"/>
          <w:sz w:val="28"/>
          <w:szCs w:val="28"/>
        </w:rPr>
        <w:t>2．开标一览表</w:t>
      </w:r>
      <w:bookmarkEnd w:id="376"/>
      <w:bookmarkEnd w:id="377"/>
      <w:bookmarkEnd w:id="378"/>
    </w:p>
    <w:tbl>
      <w:tblPr>
        <w:tblStyle w:val="3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093" w:type="dxa"/>
            <w:vAlign w:val="center"/>
          </w:tcPr>
          <w:p>
            <w:pPr>
              <w:snapToGrid w:val="0"/>
              <w:ind w:firstLine="140" w:firstLineChars="50"/>
              <w:jc w:val="center"/>
              <w:rPr>
                <w:rFonts w:ascii="宋体" w:hAnsi="宋体"/>
                <w:sz w:val="28"/>
                <w:szCs w:val="28"/>
              </w:rPr>
            </w:pPr>
            <w:r>
              <w:rPr>
                <w:rFonts w:hint="eastAsia" w:ascii="宋体" w:hAnsi="宋体"/>
                <w:sz w:val="28"/>
                <w:szCs w:val="28"/>
              </w:rPr>
              <w:t>项目名称</w:t>
            </w:r>
          </w:p>
        </w:tc>
        <w:tc>
          <w:tcPr>
            <w:tcW w:w="6804" w:type="dxa"/>
            <w:vAlign w:val="center"/>
          </w:tcPr>
          <w:p>
            <w:pPr>
              <w:snapToGrid w:val="0"/>
              <w:rPr>
                <w:rFonts w:ascii="宋体" w:hAnsi="宋体"/>
                <w:sz w:val="28"/>
                <w:szCs w:val="28"/>
              </w:rPr>
            </w:pPr>
            <w:r>
              <w:rPr>
                <w:rFonts w:hint="eastAsia"/>
              </w:rPr>
              <w:t>南京特殊教育师范学院燕子矶校区树木修剪服务项目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93" w:type="dxa"/>
            <w:vAlign w:val="center"/>
          </w:tcPr>
          <w:p>
            <w:pPr>
              <w:snapToGrid w:val="0"/>
              <w:jc w:val="center"/>
              <w:rPr>
                <w:rFonts w:ascii="宋体" w:hAnsi="宋体"/>
                <w:sz w:val="28"/>
                <w:szCs w:val="28"/>
              </w:rPr>
            </w:pPr>
            <w:r>
              <w:rPr>
                <w:rFonts w:hint="eastAsia" w:ascii="宋体" w:hAnsi="宋体"/>
                <w:sz w:val="28"/>
                <w:szCs w:val="28"/>
              </w:rPr>
              <w:t>项目编号</w:t>
            </w:r>
          </w:p>
        </w:tc>
        <w:tc>
          <w:tcPr>
            <w:tcW w:w="6804" w:type="dxa"/>
            <w:vAlign w:val="center"/>
          </w:tcPr>
          <w:p>
            <w:pPr>
              <w:snapToGrid w:val="0"/>
              <w:rPr>
                <w:rFonts w:ascii="宋体" w:hAnsi="宋体" w:cs="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2093" w:type="dxa"/>
            <w:vAlign w:val="center"/>
          </w:tcPr>
          <w:p>
            <w:pPr>
              <w:snapToGrid w:val="0"/>
              <w:jc w:val="center"/>
              <w:rPr>
                <w:rFonts w:ascii="宋体" w:hAnsi="宋体"/>
                <w:sz w:val="28"/>
                <w:szCs w:val="28"/>
              </w:rPr>
            </w:pPr>
            <w:r>
              <w:rPr>
                <w:rFonts w:hint="eastAsia" w:ascii="宋体" w:hAnsi="宋体"/>
                <w:sz w:val="28"/>
                <w:szCs w:val="28"/>
              </w:rPr>
              <w:t>投标报价</w:t>
            </w:r>
          </w:p>
          <w:p>
            <w:pPr>
              <w:snapToGrid w:val="0"/>
              <w:jc w:val="center"/>
              <w:rPr>
                <w:rFonts w:ascii="宋体" w:hAnsi="宋体"/>
                <w:sz w:val="28"/>
                <w:szCs w:val="28"/>
              </w:rPr>
            </w:pPr>
            <w:r>
              <w:rPr>
                <w:rFonts w:hint="eastAsia" w:ascii="宋体" w:hAnsi="宋体"/>
                <w:sz w:val="28"/>
                <w:szCs w:val="28"/>
              </w:rPr>
              <w:t>（实际购买额）</w:t>
            </w:r>
          </w:p>
        </w:tc>
        <w:tc>
          <w:tcPr>
            <w:tcW w:w="6804" w:type="dxa"/>
            <w:vAlign w:val="center"/>
          </w:tcPr>
          <w:p>
            <w:pPr>
              <w:snapToGrid w:val="0"/>
              <w:rPr>
                <w:rFonts w:ascii="宋体" w:hAnsi="宋体"/>
                <w:sz w:val="28"/>
                <w:szCs w:val="28"/>
              </w:rPr>
            </w:pPr>
            <w:r>
              <w:rPr>
                <w:rFonts w:hint="eastAsia" w:ascii="宋体" w:hAnsi="宋体"/>
                <w:sz w:val="28"/>
                <w:szCs w:val="28"/>
              </w:rPr>
              <w:t>人民币（大写）</w:t>
            </w:r>
            <w:r>
              <w:rPr>
                <w:rFonts w:hint="eastAsia" w:ascii="宋体" w:hAnsi="宋体"/>
                <w:sz w:val="28"/>
                <w:szCs w:val="28"/>
                <w:u w:val="single"/>
              </w:rPr>
              <w:t xml:space="preserve">    </w:t>
            </w:r>
            <w:r>
              <w:rPr>
                <w:rFonts w:hint="eastAsia" w:ascii="宋体" w:hAnsi="宋体"/>
                <w:sz w:val="28"/>
                <w:szCs w:val="28"/>
              </w:rPr>
              <w:t>佰</w:t>
            </w:r>
            <w:r>
              <w:rPr>
                <w:rFonts w:hint="eastAsia" w:ascii="宋体" w:hAnsi="宋体"/>
                <w:sz w:val="28"/>
                <w:szCs w:val="28"/>
                <w:u w:val="single"/>
              </w:rPr>
              <w:t xml:space="preserve">    </w:t>
            </w:r>
            <w:r>
              <w:rPr>
                <w:rFonts w:hint="eastAsia" w:ascii="宋体" w:hAnsi="宋体"/>
                <w:sz w:val="28"/>
                <w:szCs w:val="28"/>
              </w:rPr>
              <w:t>拾</w:t>
            </w:r>
            <w:r>
              <w:rPr>
                <w:rFonts w:hint="eastAsia" w:ascii="宋体" w:hAnsi="宋体"/>
                <w:sz w:val="28"/>
                <w:szCs w:val="28"/>
                <w:u w:val="single"/>
              </w:rPr>
              <w:t xml:space="preserve">    </w:t>
            </w:r>
            <w:r>
              <w:rPr>
                <w:rFonts w:hint="eastAsia" w:ascii="宋体" w:hAnsi="宋体"/>
                <w:sz w:val="28"/>
                <w:szCs w:val="28"/>
              </w:rPr>
              <w:t>圆/卡</w:t>
            </w:r>
          </w:p>
          <w:p>
            <w:pPr>
              <w:snapToGrid w:val="0"/>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元/卡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2093" w:type="dxa"/>
            <w:vAlign w:val="center"/>
          </w:tcPr>
          <w:p>
            <w:pPr>
              <w:snapToGrid w:val="0"/>
              <w:jc w:val="center"/>
              <w:rPr>
                <w:rFonts w:ascii="宋体" w:hAnsi="宋体"/>
                <w:sz w:val="28"/>
                <w:szCs w:val="28"/>
              </w:rPr>
            </w:pPr>
            <w:r>
              <w:rPr>
                <w:rFonts w:hint="eastAsia" w:ascii="宋体" w:hAnsi="宋体"/>
                <w:sz w:val="28"/>
                <w:szCs w:val="28"/>
              </w:rPr>
              <w:t>投标供应商</w:t>
            </w:r>
          </w:p>
          <w:p>
            <w:pPr>
              <w:snapToGrid w:val="0"/>
              <w:jc w:val="center"/>
              <w:rPr>
                <w:rFonts w:ascii="宋体" w:hAnsi="宋体" w:cs="新宋体"/>
                <w:dstrike/>
                <w:sz w:val="28"/>
                <w:szCs w:val="28"/>
              </w:rPr>
            </w:pPr>
            <w:r>
              <w:rPr>
                <w:rFonts w:hint="eastAsia" w:ascii="宋体" w:hAnsi="宋体"/>
                <w:sz w:val="28"/>
                <w:szCs w:val="28"/>
              </w:rPr>
              <w:t>企业标准</w:t>
            </w:r>
          </w:p>
        </w:tc>
        <w:tc>
          <w:tcPr>
            <w:tcW w:w="6804" w:type="dxa"/>
            <w:vAlign w:val="center"/>
          </w:tcPr>
          <w:p>
            <w:pPr>
              <w:snapToGrid w:val="0"/>
              <w:rPr>
                <w:rFonts w:ascii="宋体" w:hAnsi="宋体" w:cs="新宋体"/>
                <w:dstrike/>
                <w:sz w:val="28"/>
                <w:szCs w:val="28"/>
              </w:rPr>
            </w:pPr>
            <w:r>
              <w:rPr>
                <w:rFonts w:hint="eastAsia" w:ascii="宋体" w:hAnsi="宋体"/>
                <w:sz w:val="28"/>
                <w:szCs w:val="28"/>
                <w:u w:val="single"/>
              </w:rPr>
              <w:t xml:space="preserve">       </w:t>
            </w:r>
            <w:r>
              <w:rPr>
                <w:rFonts w:hint="eastAsia" w:ascii="宋体" w:hAnsi="宋体"/>
                <w:sz w:val="28"/>
                <w:szCs w:val="28"/>
              </w:rPr>
              <w:t>(请填写：大、中、小、微型)企业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2093" w:type="dxa"/>
            <w:vAlign w:val="center"/>
          </w:tcPr>
          <w:p>
            <w:pPr>
              <w:snapToGrid w:val="0"/>
              <w:jc w:val="center"/>
              <w:rPr>
                <w:rFonts w:ascii="宋体" w:hAnsi="宋体"/>
                <w:sz w:val="28"/>
                <w:szCs w:val="28"/>
              </w:rPr>
            </w:pPr>
            <w:r>
              <w:rPr>
                <w:rFonts w:hint="eastAsia" w:ascii="宋体" w:hAnsi="宋体"/>
                <w:sz w:val="28"/>
                <w:szCs w:val="28"/>
              </w:rPr>
              <w:t>完成时间</w:t>
            </w:r>
          </w:p>
        </w:tc>
        <w:tc>
          <w:tcPr>
            <w:tcW w:w="6804" w:type="dxa"/>
            <w:vAlign w:val="center"/>
          </w:tcPr>
          <w:p>
            <w:pPr>
              <w:snapToGrid w:val="0"/>
              <w:rPr>
                <w:rFonts w:ascii="宋体" w:hAnsi="宋体"/>
                <w:sz w:val="28"/>
                <w:szCs w:val="28"/>
                <w:u w:val="single"/>
              </w:rPr>
            </w:pPr>
            <w:r>
              <w:rPr>
                <w:rFonts w:hint="eastAsia" w:ascii="宋体" w:hAnsi="宋体"/>
                <w:sz w:val="28"/>
                <w:szCs w:val="28"/>
              </w:rPr>
              <w:t xml:space="preserve">签订合同后 </w:t>
            </w:r>
            <w:r>
              <w:rPr>
                <w:rFonts w:hint="eastAsia" w:ascii="宋体" w:hAnsi="宋体"/>
                <w:sz w:val="28"/>
                <w:szCs w:val="28"/>
                <w:u w:val="single"/>
              </w:rPr>
              <w:t xml:space="preserve">         </w:t>
            </w:r>
            <w:r>
              <w:rPr>
                <w:rFonts w:hint="eastAsia" w:ascii="宋体" w:hAnsi="宋体"/>
                <w:sz w:val="28"/>
                <w:szCs w:val="28"/>
              </w:rPr>
              <w:t>日历天内</w:t>
            </w:r>
          </w:p>
        </w:tc>
      </w:tr>
    </w:tbl>
    <w:p>
      <w:pPr>
        <w:widowControl/>
        <w:topLinePunct/>
        <w:snapToGrid w:val="0"/>
        <w:spacing w:before="4" w:line="360" w:lineRule="auto"/>
        <w:rPr>
          <w:rFonts w:ascii="宋体" w:hAnsi="宋体"/>
          <w:sz w:val="28"/>
          <w:szCs w:val="28"/>
        </w:rPr>
      </w:pPr>
    </w:p>
    <w:p>
      <w:pPr>
        <w:widowControl/>
        <w:topLinePunct/>
        <w:snapToGrid w:val="0"/>
        <w:spacing w:before="4" w:line="360" w:lineRule="auto"/>
        <w:rPr>
          <w:rFonts w:ascii="宋体" w:hAnsi="宋体"/>
          <w:sz w:val="28"/>
          <w:szCs w:val="28"/>
        </w:rPr>
      </w:pPr>
      <w:r>
        <w:rPr>
          <w:rFonts w:hint="eastAsia" w:ascii="宋体" w:hAnsi="宋体"/>
          <w:sz w:val="28"/>
          <w:szCs w:val="28"/>
        </w:rPr>
        <w:t>投标供应商全称（公章）：</w:t>
      </w:r>
      <w:r>
        <w:rPr>
          <w:rFonts w:hint="eastAsia" w:ascii="宋体" w:hAnsi="宋体"/>
          <w:sz w:val="28"/>
          <w:szCs w:val="28"/>
          <w:u w:val="single"/>
        </w:rPr>
        <w:t xml:space="preserve">               </w:t>
      </w:r>
      <w:r>
        <w:rPr>
          <w:rFonts w:hint="eastAsia" w:ascii="宋体" w:hAnsi="宋体"/>
          <w:sz w:val="28"/>
          <w:szCs w:val="28"/>
        </w:rPr>
        <w:t xml:space="preserve">     </w:t>
      </w:r>
    </w:p>
    <w:p>
      <w:pPr>
        <w:widowControl/>
        <w:topLinePunct/>
        <w:snapToGrid w:val="0"/>
        <w:spacing w:before="4" w:line="360" w:lineRule="auto"/>
        <w:rPr>
          <w:rFonts w:ascii="宋体" w:hAnsi="宋体"/>
          <w:sz w:val="28"/>
          <w:szCs w:val="28"/>
        </w:rPr>
      </w:pPr>
      <w:r>
        <w:rPr>
          <w:rFonts w:hint="eastAsia" w:ascii="宋体" w:hAnsi="宋体"/>
          <w:sz w:val="28"/>
          <w:szCs w:val="28"/>
        </w:rPr>
        <w:t>法定代表人（授权代表）（签字或盖章）：</w:t>
      </w:r>
      <w:r>
        <w:rPr>
          <w:rFonts w:hint="eastAsia" w:ascii="宋体" w:hAnsi="宋体"/>
          <w:sz w:val="28"/>
          <w:szCs w:val="28"/>
          <w:u w:val="single"/>
        </w:rPr>
        <w:t xml:space="preserve">      </w:t>
      </w:r>
    </w:p>
    <w:p>
      <w:pPr>
        <w:spacing w:line="360" w:lineRule="auto"/>
        <w:ind w:firstLine="420" w:firstLineChars="150"/>
        <w:rPr>
          <w:rFonts w:ascii="宋体" w:hAnsi="宋体"/>
          <w:sz w:val="28"/>
          <w:szCs w:val="28"/>
        </w:rPr>
      </w:pPr>
      <w:r>
        <w:rPr>
          <w:rFonts w:hint="eastAsia" w:ascii="宋体" w:hAnsi="宋体"/>
          <w:sz w:val="28"/>
          <w:szCs w:val="28"/>
        </w:rPr>
        <w:t>注:</w:t>
      </w:r>
    </w:p>
    <w:p>
      <w:pPr>
        <w:spacing w:line="360" w:lineRule="auto"/>
        <w:ind w:firstLine="420" w:firstLineChars="150"/>
        <w:rPr>
          <w:rFonts w:ascii="宋体" w:hAnsi="宋体"/>
          <w:sz w:val="28"/>
          <w:szCs w:val="28"/>
        </w:rPr>
      </w:pPr>
      <w:r>
        <w:rPr>
          <w:rFonts w:hint="eastAsia" w:ascii="宋体" w:hAnsi="宋体"/>
          <w:sz w:val="28"/>
          <w:szCs w:val="28"/>
        </w:rPr>
        <w:t>（1）投标报价应包括招标文件所规定的采购范围的全部内容。</w:t>
      </w:r>
    </w:p>
    <w:p>
      <w:pPr>
        <w:spacing w:line="360" w:lineRule="auto"/>
        <w:ind w:firstLine="420" w:firstLineChars="150"/>
        <w:rPr>
          <w:rFonts w:ascii="宋体" w:hAnsi="宋体"/>
          <w:sz w:val="28"/>
          <w:szCs w:val="28"/>
        </w:rPr>
      </w:pPr>
      <w:r>
        <w:rPr>
          <w:rFonts w:hint="eastAsia" w:ascii="宋体" w:hAnsi="宋体"/>
          <w:sz w:val="28"/>
          <w:szCs w:val="28"/>
        </w:rPr>
        <w:t>（2）投标供应商不得实质性改动开标一览表格式及内容。</w:t>
      </w:r>
    </w:p>
    <w:p>
      <w:pPr>
        <w:spacing w:line="360" w:lineRule="auto"/>
        <w:ind w:firstLine="420" w:firstLineChars="150"/>
        <w:rPr>
          <w:rFonts w:ascii="宋体" w:hAnsi="宋体"/>
          <w:sz w:val="28"/>
          <w:szCs w:val="28"/>
        </w:rPr>
      </w:pPr>
      <w:r>
        <w:rPr>
          <w:rFonts w:hint="eastAsia" w:ascii="宋体" w:hAnsi="宋体"/>
          <w:sz w:val="28"/>
          <w:szCs w:val="28"/>
        </w:rPr>
        <w:t>（3）企业标准请参照《关于印发中小企业划型标准规定的通知》（工信部联企业【2011】300号）文件规定自行填写。</w:t>
      </w:r>
    </w:p>
    <w:p>
      <w:pPr>
        <w:spacing w:line="360" w:lineRule="auto"/>
        <w:ind w:firstLine="420" w:firstLineChars="150"/>
        <w:rPr>
          <w:rFonts w:cs="新宋体"/>
          <w:bCs/>
          <w:sz w:val="28"/>
          <w:szCs w:val="28"/>
        </w:rPr>
      </w:pPr>
      <w:r>
        <w:rPr>
          <w:rFonts w:hint="eastAsia" w:cs="新宋体"/>
          <w:bCs/>
          <w:sz w:val="28"/>
          <w:szCs w:val="28"/>
        </w:rPr>
        <w:t>（4）开标一览表除了装订在投标文件中以外，还需要提供一份单独密封的开标一览表，单独密封的开标一览表仅是为方便唱标所用，如未提供，不构成投标文件的完整性偏离。</w:t>
      </w: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u w:val="single"/>
        </w:rPr>
      </w:pPr>
    </w:p>
    <w:p>
      <w:pPr>
        <w:pStyle w:val="95"/>
        <w:jc w:val="center"/>
        <w:rPr>
          <w:rFonts w:ascii="宋体" w:hAnsi="宋体" w:eastAsia="宋体"/>
          <w:b/>
          <w:szCs w:val="28"/>
        </w:rPr>
      </w:pPr>
      <w:r>
        <w:rPr>
          <w:rFonts w:hint="eastAsia" w:ascii="宋体" w:hAnsi="宋体" w:eastAsia="宋体"/>
          <w:b/>
          <w:szCs w:val="28"/>
        </w:rPr>
        <w:t>3.已标价项目清单</w:t>
      </w:r>
    </w:p>
    <w:p>
      <w:pPr>
        <w:pStyle w:val="95"/>
      </w:pPr>
    </w:p>
    <w:tbl>
      <w:tblPr>
        <w:tblStyle w:val="38"/>
        <w:tblW w:w="9495"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85"/>
        <w:gridCol w:w="1605"/>
        <w:gridCol w:w="1125"/>
        <w:gridCol w:w="870"/>
        <w:gridCol w:w="810"/>
        <w:gridCol w:w="79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18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树木</w:t>
            </w:r>
          </w:p>
          <w:p>
            <w:pPr>
              <w:widowControl/>
              <w:jc w:val="center"/>
              <w:rPr>
                <w:rFonts w:ascii="宋体" w:hAnsi="宋体" w:cs="宋体"/>
                <w:kern w:val="0"/>
                <w:szCs w:val="21"/>
              </w:rPr>
            </w:pPr>
            <w:r>
              <w:rPr>
                <w:rFonts w:hint="eastAsia" w:ascii="宋体" w:hAnsi="宋体" w:cs="宋体"/>
                <w:kern w:val="0"/>
                <w:szCs w:val="21"/>
              </w:rPr>
              <w:t>名称</w:t>
            </w:r>
          </w:p>
        </w:tc>
        <w:tc>
          <w:tcPr>
            <w:tcW w:w="160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树木情况</w:t>
            </w:r>
          </w:p>
        </w:tc>
        <w:tc>
          <w:tcPr>
            <w:tcW w:w="1125"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计量单位</w:t>
            </w:r>
          </w:p>
        </w:tc>
        <w:tc>
          <w:tcPr>
            <w:tcW w:w="870"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工程量</w:t>
            </w:r>
          </w:p>
        </w:tc>
        <w:tc>
          <w:tcPr>
            <w:tcW w:w="1605" w:type="dxa"/>
            <w:gridSpan w:val="2"/>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金额（元）</w:t>
            </w:r>
          </w:p>
        </w:tc>
        <w:tc>
          <w:tcPr>
            <w:tcW w:w="2475" w:type="dxa"/>
            <w:vMerge w:val="restart"/>
            <w:shd w:val="clear" w:color="auto" w:fill="auto"/>
            <w:vAlign w:val="center"/>
          </w:tcPr>
          <w:p>
            <w:pPr>
              <w:jc w:val="center"/>
              <w:rPr>
                <w:rFonts w:ascii="宋体" w:hAnsi="宋体" w:cs="宋体"/>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shd w:val="clear" w:color="auto" w:fill="auto"/>
            <w:vAlign w:val="center"/>
          </w:tcPr>
          <w:p>
            <w:pPr>
              <w:widowControl/>
              <w:jc w:val="center"/>
              <w:rPr>
                <w:rFonts w:ascii="宋体" w:hAnsi="宋体" w:cs="宋体"/>
                <w:kern w:val="0"/>
                <w:szCs w:val="21"/>
              </w:rPr>
            </w:pPr>
          </w:p>
        </w:tc>
        <w:tc>
          <w:tcPr>
            <w:tcW w:w="1185" w:type="dxa"/>
            <w:vMerge w:val="continue"/>
            <w:shd w:val="clear" w:color="auto" w:fill="auto"/>
            <w:vAlign w:val="center"/>
          </w:tcPr>
          <w:p>
            <w:pPr>
              <w:widowControl/>
              <w:jc w:val="center"/>
              <w:rPr>
                <w:rFonts w:ascii="宋体" w:hAnsi="宋体" w:cs="宋体"/>
                <w:kern w:val="0"/>
                <w:szCs w:val="21"/>
              </w:rPr>
            </w:pPr>
          </w:p>
        </w:tc>
        <w:tc>
          <w:tcPr>
            <w:tcW w:w="1605" w:type="dxa"/>
            <w:vMerge w:val="continue"/>
            <w:shd w:val="clear" w:color="auto" w:fill="auto"/>
            <w:vAlign w:val="center"/>
          </w:tcPr>
          <w:p>
            <w:pPr>
              <w:widowControl/>
              <w:jc w:val="center"/>
              <w:rPr>
                <w:rFonts w:ascii="宋体" w:hAnsi="宋体" w:cs="宋体"/>
                <w:kern w:val="0"/>
                <w:szCs w:val="21"/>
              </w:rPr>
            </w:pPr>
          </w:p>
        </w:tc>
        <w:tc>
          <w:tcPr>
            <w:tcW w:w="1125" w:type="dxa"/>
            <w:vMerge w:val="continue"/>
            <w:shd w:val="clear" w:color="auto" w:fill="auto"/>
            <w:vAlign w:val="center"/>
          </w:tcPr>
          <w:p>
            <w:pPr>
              <w:widowControl/>
              <w:jc w:val="center"/>
              <w:rPr>
                <w:rFonts w:ascii="宋体" w:hAnsi="宋体" w:cs="宋体"/>
                <w:kern w:val="0"/>
                <w:szCs w:val="21"/>
              </w:rPr>
            </w:pPr>
          </w:p>
        </w:tc>
        <w:tc>
          <w:tcPr>
            <w:tcW w:w="870" w:type="dxa"/>
            <w:vMerge w:val="continue"/>
            <w:shd w:val="clear" w:color="auto" w:fill="auto"/>
            <w:vAlign w:val="center"/>
          </w:tcPr>
          <w:p>
            <w:pPr>
              <w:widowControl/>
              <w:jc w:val="center"/>
              <w:rPr>
                <w:rFonts w:ascii="宋体" w:hAnsi="宋体" w:cs="宋体"/>
                <w:kern w:val="0"/>
                <w:szCs w:val="21"/>
              </w:rPr>
            </w:pPr>
          </w:p>
        </w:tc>
        <w:tc>
          <w:tcPr>
            <w:tcW w:w="81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79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合价</w:t>
            </w:r>
          </w:p>
        </w:tc>
        <w:tc>
          <w:tcPr>
            <w:tcW w:w="2475" w:type="dxa"/>
            <w:vMerge w:val="continue"/>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pPr>
              <w:widowControl/>
              <w:jc w:val="center"/>
              <w:rPr>
                <w:rFonts w:ascii="宋体" w:hAnsi="宋体" w:cs="宋体"/>
                <w:szCs w:val="21"/>
              </w:rPr>
            </w:pPr>
            <w:r>
              <w:rPr>
                <w:rFonts w:hint="eastAsia" w:ascii="宋体" w:hAnsi="宋体" w:cs="宋体"/>
                <w:kern w:val="0"/>
                <w:szCs w:val="21"/>
              </w:rPr>
              <w:t>1</w:t>
            </w:r>
          </w:p>
        </w:tc>
        <w:tc>
          <w:tcPr>
            <w:tcW w:w="118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梧桐树</w:t>
            </w:r>
          </w:p>
        </w:tc>
        <w:tc>
          <w:tcPr>
            <w:tcW w:w="16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杆径60-80cm，高18-22m</w:t>
            </w:r>
          </w:p>
        </w:tc>
        <w:tc>
          <w:tcPr>
            <w:tcW w:w="112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株</w:t>
            </w:r>
          </w:p>
        </w:tc>
        <w:tc>
          <w:tcPr>
            <w:tcW w:w="870" w:type="dxa"/>
            <w:shd w:val="clear" w:color="auto" w:fill="auto"/>
            <w:vAlign w:val="center"/>
          </w:tcPr>
          <w:p>
            <w:pPr>
              <w:widowControl/>
              <w:jc w:val="center"/>
              <w:rPr>
                <w:rFonts w:ascii="宋体" w:hAnsi="宋体" w:cs="宋体"/>
                <w:szCs w:val="21"/>
              </w:rPr>
            </w:pPr>
            <w:r>
              <w:rPr>
                <w:rFonts w:hint="eastAsia" w:ascii="宋体" w:hAnsi="宋体" w:cs="宋体"/>
                <w:kern w:val="0"/>
                <w:szCs w:val="21"/>
              </w:rPr>
              <w:t>49</w:t>
            </w:r>
          </w:p>
        </w:tc>
        <w:tc>
          <w:tcPr>
            <w:tcW w:w="810" w:type="dxa"/>
            <w:shd w:val="clear" w:color="auto" w:fill="auto"/>
          </w:tcPr>
          <w:p>
            <w:pPr>
              <w:rPr>
                <w:rFonts w:ascii="宋体" w:hAnsi="宋体" w:cs="宋体"/>
                <w:szCs w:val="21"/>
              </w:rPr>
            </w:pPr>
          </w:p>
        </w:tc>
        <w:tc>
          <w:tcPr>
            <w:tcW w:w="795" w:type="dxa"/>
            <w:shd w:val="clear" w:color="auto" w:fill="auto"/>
          </w:tcPr>
          <w:p>
            <w:pPr>
              <w:rPr>
                <w:rFonts w:ascii="宋体" w:hAnsi="宋体" w:cs="宋体"/>
                <w:szCs w:val="21"/>
              </w:rPr>
            </w:pPr>
          </w:p>
        </w:tc>
        <w:tc>
          <w:tcPr>
            <w:tcW w:w="2475" w:type="dxa"/>
            <w:vMerge w:val="restart"/>
            <w:shd w:val="clear" w:color="auto" w:fill="auto"/>
          </w:tcPr>
          <w:p>
            <w:pPr>
              <w:numPr>
                <w:ilvl w:val="0"/>
                <w:numId w:val="3"/>
              </w:numPr>
              <w:rPr>
                <w:rFonts w:ascii="宋体" w:hAnsi="宋体" w:cs="宋体"/>
                <w:szCs w:val="21"/>
              </w:rPr>
            </w:pPr>
            <w:r>
              <w:rPr>
                <w:rFonts w:hint="eastAsia" w:ascii="宋体" w:hAnsi="宋体" w:cs="宋体"/>
                <w:szCs w:val="21"/>
              </w:rPr>
              <w:t>处理方案：按甲方要求修剪树型，创口处理，枯枝、丛生枝、萌芽枝、下垂枝、建筑周边树枝、遮光严重倾斜严重树枝修剪，包含修剪高枝所需的登高设备，请投标单位自行考虑该项费用；</w:t>
            </w:r>
          </w:p>
          <w:p>
            <w:pPr>
              <w:numPr>
                <w:ilvl w:val="0"/>
                <w:numId w:val="3"/>
              </w:numPr>
              <w:rPr>
                <w:rFonts w:ascii="宋体" w:hAnsi="宋体" w:cs="宋体"/>
                <w:szCs w:val="21"/>
              </w:rPr>
            </w:pPr>
            <w:r>
              <w:rPr>
                <w:rFonts w:hint="eastAsia" w:ascii="宋体" w:hAnsi="宋体" w:cs="宋体"/>
                <w:szCs w:val="21"/>
              </w:rPr>
              <w:t>修剪后树形美观、内堂通透，且无影响行人及车辆的下垂枝，修剪后的树枝及枯叶当天清理，不得遗留过夜。</w:t>
            </w:r>
          </w:p>
          <w:p>
            <w:pPr>
              <w:numPr>
                <w:ilvl w:val="0"/>
                <w:numId w:val="3"/>
              </w:numPr>
              <w:rPr>
                <w:rFonts w:ascii="宋体" w:hAnsi="宋体" w:cs="宋体"/>
                <w:szCs w:val="21"/>
              </w:rPr>
            </w:pPr>
            <w:r>
              <w:rPr>
                <w:rFonts w:hint="eastAsia" w:ascii="宋体" w:hAnsi="宋体" w:cs="宋体"/>
                <w:szCs w:val="21"/>
              </w:rPr>
              <w:t>修剪枝叶运至指点地点处理；</w:t>
            </w:r>
          </w:p>
          <w:p>
            <w:pPr>
              <w:numPr>
                <w:ilvl w:val="0"/>
                <w:numId w:val="3"/>
              </w:numPr>
              <w:rPr>
                <w:rFonts w:ascii="宋体" w:hAnsi="宋体" w:cs="宋体"/>
                <w:szCs w:val="21"/>
              </w:rPr>
            </w:pPr>
            <w:r>
              <w:rPr>
                <w:rFonts w:hint="eastAsia" w:ascii="宋体" w:hAnsi="宋体" w:cs="宋体"/>
                <w:szCs w:val="21"/>
              </w:rPr>
              <w:t>垃圾外运至城市垃圾堆放处：包含垃圾弃置费，请投标单位自行考虑该项费用；</w:t>
            </w:r>
          </w:p>
          <w:p>
            <w:pPr>
              <w:rPr>
                <w:rFonts w:ascii="宋体" w:hAnsi="宋体" w:cs="宋体"/>
                <w:szCs w:val="21"/>
              </w:rPr>
            </w:pPr>
            <w:r>
              <w:rPr>
                <w:rFonts w:hint="eastAsia" w:ascii="宋体" w:hAnsi="宋体" w:cs="宋体"/>
                <w:szCs w:val="21"/>
              </w:rPr>
              <w:t>5.负责和南京市有关部门沟通，获得砍伐许可。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pPr>
              <w:widowControl/>
              <w:jc w:val="center"/>
              <w:rPr>
                <w:rFonts w:ascii="宋体" w:hAnsi="宋体" w:cs="宋体"/>
                <w:szCs w:val="21"/>
              </w:rPr>
            </w:pPr>
            <w:r>
              <w:rPr>
                <w:rFonts w:hint="eastAsia" w:ascii="宋体" w:hAnsi="宋体" w:cs="宋体"/>
                <w:kern w:val="0"/>
                <w:szCs w:val="21"/>
              </w:rPr>
              <w:t>2</w:t>
            </w:r>
          </w:p>
        </w:tc>
        <w:tc>
          <w:tcPr>
            <w:tcW w:w="1185" w:type="dxa"/>
            <w:shd w:val="clear" w:color="auto" w:fill="auto"/>
            <w:vAlign w:val="center"/>
          </w:tcPr>
          <w:p>
            <w:pPr>
              <w:widowControl/>
              <w:jc w:val="center"/>
              <w:rPr>
                <w:rFonts w:ascii="宋体" w:hAnsi="宋体" w:cs="宋体"/>
                <w:szCs w:val="21"/>
              </w:rPr>
            </w:pPr>
            <w:r>
              <w:rPr>
                <w:rFonts w:hint="eastAsia" w:ascii="宋体" w:hAnsi="宋体" w:cs="宋体"/>
                <w:kern w:val="0"/>
                <w:szCs w:val="21"/>
              </w:rPr>
              <w:t>香樟树</w:t>
            </w:r>
          </w:p>
        </w:tc>
        <w:tc>
          <w:tcPr>
            <w:tcW w:w="16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杆径30-40cm，高8-12m</w:t>
            </w:r>
          </w:p>
        </w:tc>
        <w:tc>
          <w:tcPr>
            <w:tcW w:w="112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株</w:t>
            </w:r>
          </w:p>
        </w:tc>
        <w:tc>
          <w:tcPr>
            <w:tcW w:w="870" w:type="dxa"/>
            <w:shd w:val="clear" w:color="auto" w:fill="auto"/>
            <w:vAlign w:val="center"/>
          </w:tcPr>
          <w:p>
            <w:pPr>
              <w:widowControl/>
              <w:jc w:val="center"/>
              <w:rPr>
                <w:rFonts w:ascii="宋体" w:hAnsi="宋体" w:cs="宋体"/>
                <w:szCs w:val="21"/>
              </w:rPr>
            </w:pPr>
            <w:r>
              <w:rPr>
                <w:rFonts w:hint="eastAsia" w:ascii="宋体" w:hAnsi="宋体" w:cs="宋体"/>
                <w:kern w:val="0"/>
                <w:szCs w:val="21"/>
              </w:rPr>
              <w:t>102</w:t>
            </w:r>
          </w:p>
        </w:tc>
        <w:tc>
          <w:tcPr>
            <w:tcW w:w="810" w:type="dxa"/>
            <w:shd w:val="clear" w:color="auto" w:fill="auto"/>
          </w:tcPr>
          <w:p>
            <w:pPr>
              <w:rPr>
                <w:rFonts w:ascii="宋体" w:hAnsi="宋体" w:cs="宋体"/>
                <w:szCs w:val="21"/>
              </w:rPr>
            </w:pPr>
          </w:p>
        </w:tc>
        <w:tc>
          <w:tcPr>
            <w:tcW w:w="795" w:type="dxa"/>
            <w:shd w:val="clear" w:color="auto" w:fill="auto"/>
          </w:tcPr>
          <w:p>
            <w:pPr>
              <w:rPr>
                <w:rFonts w:ascii="宋体" w:hAnsi="宋体" w:cs="宋体"/>
                <w:szCs w:val="21"/>
              </w:rPr>
            </w:pPr>
          </w:p>
        </w:tc>
        <w:tc>
          <w:tcPr>
            <w:tcW w:w="2475" w:type="dxa"/>
            <w:vMerge w:val="continue"/>
            <w:shd w:val="clear" w:color="auto" w:fill="auto"/>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pPr>
              <w:widowControl/>
              <w:jc w:val="center"/>
              <w:rPr>
                <w:rFonts w:ascii="宋体" w:hAnsi="宋体" w:cs="宋体"/>
                <w:szCs w:val="21"/>
              </w:rPr>
            </w:pPr>
            <w:r>
              <w:rPr>
                <w:rFonts w:hint="eastAsia" w:ascii="宋体" w:hAnsi="宋体" w:cs="宋体"/>
                <w:kern w:val="0"/>
                <w:szCs w:val="21"/>
              </w:rPr>
              <w:t>3</w:t>
            </w:r>
          </w:p>
        </w:tc>
        <w:tc>
          <w:tcPr>
            <w:tcW w:w="1185" w:type="dxa"/>
            <w:shd w:val="clear" w:color="auto" w:fill="auto"/>
            <w:vAlign w:val="center"/>
          </w:tcPr>
          <w:p>
            <w:pPr>
              <w:widowControl/>
              <w:jc w:val="center"/>
              <w:rPr>
                <w:rFonts w:ascii="宋体" w:hAnsi="宋体" w:cs="宋体"/>
                <w:szCs w:val="21"/>
              </w:rPr>
            </w:pPr>
            <w:r>
              <w:rPr>
                <w:rFonts w:hint="eastAsia" w:ascii="宋体" w:hAnsi="宋体" w:cs="宋体"/>
                <w:kern w:val="0"/>
                <w:szCs w:val="21"/>
              </w:rPr>
              <w:t>白玉兰</w:t>
            </w:r>
          </w:p>
        </w:tc>
        <w:tc>
          <w:tcPr>
            <w:tcW w:w="16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杆径30-40cm，高16-20m</w:t>
            </w:r>
          </w:p>
        </w:tc>
        <w:tc>
          <w:tcPr>
            <w:tcW w:w="112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株</w:t>
            </w:r>
          </w:p>
        </w:tc>
        <w:tc>
          <w:tcPr>
            <w:tcW w:w="870" w:type="dxa"/>
            <w:shd w:val="clear" w:color="auto" w:fill="auto"/>
            <w:vAlign w:val="center"/>
          </w:tcPr>
          <w:p>
            <w:pPr>
              <w:widowControl/>
              <w:jc w:val="center"/>
              <w:rPr>
                <w:rFonts w:ascii="宋体" w:hAnsi="宋体" w:cs="宋体"/>
                <w:szCs w:val="21"/>
              </w:rPr>
            </w:pPr>
            <w:r>
              <w:rPr>
                <w:rFonts w:hint="eastAsia" w:ascii="宋体" w:hAnsi="宋体" w:cs="宋体"/>
                <w:kern w:val="0"/>
                <w:szCs w:val="21"/>
              </w:rPr>
              <w:t>10</w:t>
            </w:r>
          </w:p>
        </w:tc>
        <w:tc>
          <w:tcPr>
            <w:tcW w:w="810" w:type="dxa"/>
            <w:shd w:val="clear" w:color="auto" w:fill="auto"/>
          </w:tcPr>
          <w:p>
            <w:pPr>
              <w:rPr>
                <w:rFonts w:ascii="宋体" w:hAnsi="宋体" w:cs="宋体"/>
                <w:szCs w:val="21"/>
              </w:rPr>
            </w:pPr>
          </w:p>
        </w:tc>
        <w:tc>
          <w:tcPr>
            <w:tcW w:w="795" w:type="dxa"/>
            <w:shd w:val="clear" w:color="auto" w:fill="auto"/>
          </w:tcPr>
          <w:p>
            <w:pPr>
              <w:rPr>
                <w:rFonts w:ascii="宋体" w:hAnsi="宋体" w:cs="宋体"/>
                <w:szCs w:val="21"/>
              </w:rPr>
            </w:pPr>
          </w:p>
        </w:tc>
        <w:tc>
          <w:tcPr>
            <w:tcW w:w="2475" w:type="dxa"/>
            <w:vMerge w:val="continue"/>
            <w:shd w:val="clear" w:color="auto" w:fill="auto"/>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pPr>
              <w:widowControl/>
              <w:jc w:val="center"/>
              <w:rPr>
                <w:rFonts w:ascii="宋体" w:hAnsi="宋体" w:cs="宋体"/>
                <w:szCs w:val="21"/>
              </w:rPr>
            </w:pPr>
            <w:r>
              <w:rPr>
                <w:rFonts w:hint="eastAsia" w:ascii="宋体" w:hAnsi="宋体" w:cs="宋体"/>
                <w:kern w:val="0"/>
                <w:szCs w:val="21"/>
              </w:rPr>
              <w:t>4</w:t>
            </w:r>
          </w:p>
        </w:tc>
        <w:tc>
          <w:tcPr>
            <w:tcW w:w="118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杨树</w:t>
            </w:r>
          </w:p>
        </w:tc>
        <w:tc>
          <w:tcPr>
            <w:tcW w:w="16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杆径60-70cm，高18-22m</w:t>
            </w:r>
          </w:p>
        </w:tc>
        <w:tc>
          <w:tcPr>
            <w:tcW w:w="112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株</w:t>
            </w:r>
          </w:p>
        </w:tc>
        <w:tc>
          <w:tcPr>
            <w:tcW w:w="870" w:type="dxa"/>
            <w:shd w:val="clear" w:color="auto" w:fill="auto"/>
            <w:vAlign w:val="center"/>
          </w:tcPr>
          <w:p>
            <w:pPr>
              <w:widowControl/>
              <w:jc w:val="center"/>
              <w:rPr>
                <w:rFonts w:ascii="宋体" w:hAnsi="宋体" w:cs="宋体"/>
                <w:szCs w:val="21"/>
              </w:rPr>
            </w:pPr>
            <w:r>
              <w:rPr>
                <w:rFonts w:hint="eastAsia" w:ascii="宋体" w:hAnsi="宋体" w:cs="宋体"/>
                <w:kern w:val="0"/>
                <w:szCs w:val="21"/>
              </w:rPr>
              <w:t>42</w:t>
            </w:r>
          </w:p>
        </w:tc>
        <w:tc>
          <w:tcPr>
            <w:tcW w:w="810" w:type="dxa"/>
            <w:shd w:val="clear" w:color="auto" w:fill="auto"/>
          </w:tcPr>
          <w:p>
            <w:pPr>
              <w:rPr>
                <w:rFonts w:ascii="宋体" w:hAnsi="宋体" w:cs="宋体"/>
                <w:szCs w:val="21"/>
              </w:rPr>
            </w:pPr>
          </w:p>
        </w:tc>
        <w:tc>
          <w:tcPr>
            <w:tcW w:w="795" w:type="dxa"/>
            <w:shd w:val="clear" w:color="auto" w:fill="auto"/>
          </w:tcPr>
          <w:p>
            <w:pPr>
              <w:rPr>
                <w:rFonts w:ascii="宋体" w:hAnsi="宋体" w:cs="宋体"/>
                <w:szCs w:val="21"/>
              </w:rPr>
            </w:pPr>
          </w:p>
        </w:tc>
        <w:tc>
          <w:tcPr>
            <w:tcW w:w="2475" w:type="dxa"/>
            <w:vMerge w:val="continue"/>
            <w:shd w:val="clear" w:color="auto" w:fill="auto"/>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pPr>
              <w:widowControl/>
              <w:jc w:val="center"/>
              <w:rPr>
                <w:rFonts w:ascii="宋体" w:hAnsi="宋体" w:cs="宋体"/>
                <w:szCs w:val="21"/>
              </w:rPr>
            </w:pPr>
            <w:r>
              <w:rPr>
                <w:rFonts w:hint="eastAsia" w:ascii="宋体" w:hAnsi="宋体" w:cs="宋体"/>
                <w:kern w:val="0"/>
                <w:szCs w:val="21"/>
              </w:rPr>
              <w:t>5</w:t>
            </w:r>
          </w:p>
        </w:tc>
        <w:tc>
          <w:tcPr>
            <w:tcW w:w="1185" w:type="dxa"/>
            <w:shd w:val="clear" w:color="auto" w:fill="auto"/>
            <w:vAlign w:val="center"/>
          </w:tcPr>
          <w:p>
            <w:pPr>
              <w:widowControl/>
              <w:jc w:val="center"/>
              <w:rPr>
                <w:rFonts w:ascii="宋体" w:hAnsi="宋体" w:cs="宋体"/>
                <w:szCs w:val="21"/>
              </w:rPr>
            </w:pPr>
            <w:r>
              <w:rPr>
                <w:rFonts w:hint="eastAsia" w:ascii="宋体" w:hAnsi="宋体" w:cs="宋体"/>
                <w:kern w:val="0"/>
                <w:szCs w:val="21"/>
              </w:rPr>
              <w:t>银杏树</w:t>
            </w:r>
          </w:p>
        </w:tc>
        <w:tc>
          <w:tcPr>
            <w:tcW w:w="16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杆径30-40cm，高18-20m</w:t>
            </w:r>
          </w:p>
        </w:tc>
        <w:tc>
          <w:tcPr>
            <w:tcW w:w="1125" w:type="dxa"/>
            <w:shd w:val="clear" w:color="auto" w:fill="auto"/>
            <w:vAlign w:val="center"/>
          </w:tcPr>
          <w:p>
            <w:pPr>
              <w:widowControl/>
              <w:jc w:val="center"/>
              <w:rPr>
                <w:rFonts w:ascii="宋体" w:hAnsi="宋体" w:cs="宋体"/>
                <w:szCs w:val="21"/>
              </w:rPr>
            </w:pPr>
            <w:r>
              <w:rPr>
                <w:rFonts w:hint="eastAsia" w:ascii="宋体" w:hAnsi="宋体" w:cs="宋体"/>
                <w:kern w:val="0"/>
                <w:szCs w:val="21"/>
              </w:rPr>
              <w:t>株</w:t>
            </w:r>
          </w:p>
        </w:tc>
        <w:tc>
          <w:tcPr>
            <w:tcW w:w="870" w:type="dxa"/>
            <w:shd w:val="clear" w:color="auto" w:fill="auto"/>
            <w:vAlign w:val="center"/>
          </w:tcPr>
          <w:p>
            <w:pPr>
              <w:widowControl/>
              <w:jc w:val="center"/>
              <w:rPr>
                <w:rFonts w:ascii="宋体" w:hAnsi="宋体" w:cs="宋体"/>
                <w:szCs w:val="21"/>
              </w:rPr>
            </w:pPr>
            <w:r>
              <w:rPr>
                <w:rFonts w:hint="eastAsia" w:ascii="宋体" w:hAnsi="宋体" w:cs="宋体"/>
                <w:kern w:val="0"/>
                <w:szCs w:val="21"/>
              </w:rPr>
              <w:t>14</w:t>
            </w:r>
          </w:p>
        </w:tc>
        <w:tc>
          <w:tcPr>
            <w:tcW w:w="810" w:type="dxa"/>
            <w:shd w:val="clear" w:color="auto" w:fill="auto"/>
          </w:tcPr>
          <w:p>
            <w:pPr>
              <w:rPr>
                <w:rFonts w:ascii="宋体" w:hAnsi="宋体" w:cs="宋体"/>
                <w:szCs w:val="21"/>
              </w:rPr>
            </w:pPr>
          </w:p>
        </w:tc>
        <w:tc>
          <w:tcPr>
            <w:tcW w:w="795" w:type="dxa"/>
            <w:shd w:val="clear" w:color="auto" w:fill="auto"/>
          </w:tcPr>
          <w:p>
            <w:pPr>
              <w:rPr>
                <w:rFonts w:ascii="宋体" w:hAnsi="宋体" w:cs="宋体"/>
                <w:szCs w:val="21"/>
              </w:rPr>
            </w:pPr>
          </w:p>
        </w:tc>
        <w:tc>
          <w:tcPr>
            <w:tcW w:w="2475" w:type="dxa"/>
            <w:vMerge w:val="continue"/>
            <w:shd w:val="clear" w:color="auto" w:fill="auto"/>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1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护坡杂树、草</w:t>
            </w:r>
          </w:p>
        </w:tc>
        <w:tc>
          <w:tcPr>
            <w:tcW w:w="16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长满不知名杂树、草</w:t>
            </w:r>
          </w:p>
        </w:tc>
        <w:tc>
          <w:tcPr>
            <w:tcW w:w="112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平方米</w:t>
            </w:r>
          </w:p>
        </w:tc>
        <w:tc>
          <w:tcPr>
            <w:tcW w:w="870" w:type="dxa"/>
            <w:shd w:val="clear" w:color="auto" w:fill="auto"/>
            <w:vAlign w:val="center"/>
          </w:tcPr>
          <w:p>
            <w:pPr>
              <w:widowControl/>
              <w:jc w:val="center"/>
              <w:rPr>
                <w:rFonts w:ascii="宋体" w:hAnsi="宋体" w:cs="宋体"/>
                <w:szCs w:val="21"/>
              </w:rPr>
            </w:pPr>
            <w:r>
              <w:rPr>
                <w:rFonts w:hint="eastAsia" w:ascii="宋体" w:hAnsi="宋体" w:cs="宋体"/>
                <w:kern w:val="0"/>
                <w:szCs w:val="21"/>
              </w:rPr>
              <w:t>2000</w:t>
            </w:r>
          </w:p>
        </w:tc>
        <w:tc>
          <w:tcPr>
            <w:tcW w:w="810" w:type="dxa"/>
            <w:shd w:val="clear" w:color="auto" w:fill="auto"/>
          </w:tcPr>
          <w:p>
            <w:pPr>
              <w:rPr>
                <w:rFonts w:ascii="宋体" w:hAnsi="宋体" w:cs="宋体"/>
                <w:szCs w:val="21"/>
              </w:rPr>
            </w:pPr>
          </w:p>
        </w:tc>
        <w:tc>
          <w:tcPr>
            <w:tcW w:w="795" w:type="dxa"/>
            <w:shd w:val="clear" w:color="auto" w:fill="auto"/>
          </w:tcPr>
          <w:p>
            <w:pPr>
              <w:rPr>
                <w:rFonts w:ascii="宋体" w:hAnsi="宋体" w:cs="宋体"/>
                <w:szCs w:val="21"/>
              </w:rPr>
            </w:pPr>
          </w:p>
        </w:tc>
        <w:tc>
          <w:tcPr>
            <w:tcW w:w="2475" w:type="dxa"/>
            <w:vMerge w:val="continue"/>
            <w:shd w:val="clear" w:color="auto" w:fill="auto"/>
          </w:tcPr>
          <w:p>
            <w:pPr>
              <w:rPr>
                <w:rFonts w:ascii="宋体" w:hAnsi="宋体" w:cs="宋体"/>
                <w:szCs w:val="21"/>
              </w:rPr>
            </w:pPr>
          </w:p>
        </w:tc>
      </w:tr>
    </w:tbl>
    <w:p>
      <w:pPr>
        <w:adjustRightInd w:val="0"/>
        <w:textAlignment w:val="baseline"/>
        <w:rPr>
          <w:rFonts w:ascii="宋体" w:hAnsi="宋体"/>
          <w:szCs w:val="21"/>
        </w:rPr>
      </w:pPr>
      <w:r>
        <w:rPr>
          <w:rFonts w:hint="eastAsia" w:ascii="宋体" w:hAnsi="宋体"/>
          <w:szCs w:val="21"/>
        </w:rPr>
        <w:t>注：本单价为全费用综合单价，包含分部分项综合单价，措施费，规费，税金等全部费用。</w:t>
      </w:r>
    </w:p>
    <w:p>
      <w:pPr>
        <w:jc w:val="center"/>
        <w:rPr>
          <w:rFonts w:ascii="宋体" w:hAnsi="宋体" w:cs="宋体"/>
          <w:b/>
          <w:sz w:val="28"/>
          <w:szCs w:val="28"/>
        </w:rPr>
      </w:pPr>
    </w:p>
    <w:p>
      <w:pPr>
        <w:spacing w:line="360" w:lineRule="exact"/>
        <w:outlineLvl w:val="1"/>
        <w:rPr>
          <w:rFonts w:ascii="宋体" w:hAnsi="宋体" w:cs="宋体"/>
          <w:szCs w:val="21"/>
        </w:rPr>
      </w:pPr>
      <w:r>
        <w:rPr>
          <w:rFonts w:hint="eastAsia" w:ascii="宋体" w:hAnsi="宋体" w:cs="宋体"/>
          <w:szCs w:val="21"/>
        </w:rPr>
        <w:t>投标单位（盖公章）：</w:t>
      </w:r>
    </w:p>
    <w:p>
      <w:pPr>
        <w:spacing w:line="360" w:lineRule="exact"/>
        <w:outlineLvl w:val="1"/>
        <w:rPr>
          <w:rFonts w:ascii="宋体" w:hAnsi="宋体" w:cs="宋体"/>
          <w:szCs w:val="21"/>
        </w:rPr>
      </w:pPr>
      <w:r>
        <w:rPr>
          <w:rFonts w:hint="eastAsia" w:ascii="宋体" w:hAnsi="宋体" w:cs="宋体"/>
          <w:szCs w:val="21"/>
        </w:rPr>
        <w:t>法定代表人或其代理人（签字或盖章）：</w:t>
      </w:r>
    </w:p>
    <w:p>
      <w:pPr>
        <w:spacing w:line="360" w:lineRule="exact"/>
        <w:outlineLvl w:val="1"/>
        <w:rPr>
          <w:rFonts w:ascii="宋体" w:hAnsi="宋体" w:cs="宋体"/>
          <w:szCs w:val="21"/>
        </w:rPr>
      </w:pPr>
      <w:r>
        <w:rPr>
          <w:rFonts w:hint="eastAsia" w:ascii="宋体" w:hAnsi="宋体" w:cs="宋体"/>
          <w:szCs w:val="21"/>
        </w:rPr>
        <w:t>日期：       年      月      日</w:t>
      </w:r>
    </w:p>
    <w:p>
      <w:pPr>
        <w:spacing w:line="400" w:lineRule="exact"/>
        <w:rPr>
          <w:sz w:val="24"/>
          <w:szCs w:val="24"/>
          <w:u w:val="single"/>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pStyle w:val="95"/>
        <w:jc w:val="center"/>
        <w:rPr>
          <w:rFonts w:ascii="宋体" w:hAnsi="宋体" w:eastAsia="宋体"/>
          <w:b/>
          <w:szCs w:val="28"/>
        </w:rPr>
      </w:pPr>
      <w:bookmarkStart w:id="379" w:name="_Toc498341184"/>
      <w:bookmarkStart w:id="380" w:name="_Toc508049179"/>
      <w:bookmarkStart w:id="381" w:name="_Toc491988246"/>
      <w:bookmarkStart w:id="382" w:name="_Toc462846509"/>
    </w:p>
    <w:p>
      <w:pPr>
        <w:pStyle w:val="95"/>
        <w:jc w:val="center"/>
        <w:rPr>
          <w:rFonts w:ascii="宋体" w:hAnsi="宋体" w:eastAsia="宋体"/>
          <w:b/>
          <w:szCs w:val="28"/>
        </w:rPr>
      </w:pPr>
      <w:r>
        <w:rPr>
          <w:rFonts w:hint="eastAsia" w:ascii="宋体" w:hAnsi="宋体" w:eastAsia="宋体"/>
          <w:b/>
          <w:szCs w:val="28"/>
        </w:rPr>
        <w:t>4.项目实施方案</w:t>
      </w:r>
      <w:bookmarkEnd w:id="379"/>
      <w:bookmarkEnd w:id="380"/>
      <w:bookmarkEnd w:id="381"/>
      <w:bookmarkEnd w:id="382"/>
    </w:p>
    <w:p>
      <w:pPr>
        <w:ind w:firstLine="420" w:firstLineChars="200"/>
        <w:rPr>
          <w:rFonts w:ascii="宋体" w:hAnsi="宋体"/>
          <w:szCs w:val="21"/>
        </w:rPr>
      </w:pPr>
      <w:r>
        <w:rPr>
          <w:rFonts w:hint="eastAsia" w:ascii="宋体" w:hAnsi="宋体"/>
          <w:szCs w:val="21"/>
        </w:rPr>
        <w:t>投标人须提供完整、可行的实施方案，内容应包括但不限于以下内容：</w:t>
      </w:r>
    </w:p>
    <w:p>
      <w:pPr>
        <w:ind w:firstLine="420" w:firstLineChars="200"/>
        <w:rPr>
          <w:rFonts w:ascii="宋体" w:hAnsi="宋体"/>
          <w:szCs w:val="21"/>
        </w:rPr>
      </w:pPr>
      <w:r>
        <w:rPr>
          <w:rFonts w:hint="eastAsia"/>
        </w:rPr>
        <w:t>项目实施总体方案、项目</w:t>
      </w:r>
      <w:r>
        <w:rPr>
          <w:rFonts w:hint="eastAsia" w:ascii="宋体" w:hAnsi="宋体"/>
          <w:szCs w:val="21"/>
        </w:rPr>
        <w:t>时间</w:t>
      </w:r>
      <w:r>
        <w:rPr>
          <w:rFonts w:hint="eastAsia"/>
        </w:rPr>
        <w:t>进度计划、质量保证措施、后期管养措施、卫生安全措施、保障供应措施、</w:t>
      </w:r>
      <w:r>
        <w:rPr>
          <w:rFonts w:hint="eastAsia" w:ascii="宋体" w:hAnsi="宋体"/>
          <w:szCs w:val="21"/>
        </w:rPr>
        <w:t>人员配置计划等；</w:t>
      </w:r>
    </w:p>
    <w:p>
      <w:pPr>
        <w:spacing w:line="240" w:lineRule="atLeast"/>
        <w:ind w:firstLine="630" w:firstLineChars="300"/>
        <w:rPr>
          <w:rFonts w:ascii="宋体" w:hAnsi="宋体"/>
          <w:szCs w:val="21"/>
        </w:rPr>
      </w:pPr>
    </w:p>
    <w:p>
      <w:pPr>
        <w:spacing w:line="240" w:lineRule="atLeast"/>
        <w:ind w:firstLine="4515" w:firstLineChars="2150"/>
        <w:rPr>
          <w:rFonts w:ascii="宋体" w:hAnsi="宋体"/>
          <w:szCs w:val="21"/>
        </w:rPr>
      </w:pPr>
      <w:r>
        <w:rPr>
          <w:rFonts w:ascii="宋体" w:hAnsi="宋体"/>
          <w:szCs w:val="21"/>
        </w:rPr>
        <w:t>投标单位全称（公章):</w:t>
      </w:r>
      <w:r>
        <w:rPr>
          <w:rFonts w:hint="eastAsia" w:ascii="宋体" w:hAnsi="宋体"/>
          <w:szCs w:val="21"/>
        </w:rPr>
        <w:t xml:space="preserve">      </w:t>
      </w:r>
    </w:p>
    <w:p>
      <w:pPr>
        <w:spacing w:line="240" w:lineRule="atLeast"/>
        <w:ind w:firstLine="3885" w:firstLineChars="1850"/>
        <w:rPr>
          <w:rFonts w:ascii="宋体" w:hAnsi="宋体"/>
          <w:szCs w:val="21"/>
        </w:rPr>
      </w:pPr>
      <w:r>
        <w:rPr>
          <w:rFonts w:hint="eastAsia" w:ascii="宋体" w:hAnsi="宋体"/>
          <w:szCs w:val="21"/>
        </w:rPr>
        <w:t>法定代表人（授权代表）（签字或盖章）</w:t>
      </w:r>
      <w:r>
        <w:rPr>
          <w:rFonts w:ascii="宋体" w:hAnsi="宋体"/>
          <w:szCs w:val="21"/>
        </w:rPr>
        <w:t>：</w:t>
      </w:r>
    </w:p>
    <w:p>
      <w:pPr>
        <w:spacing w:line="360" w:lineRule="auto"/>
        <w:rPr>
          <w:rFonts w:ascii="宋体" w:hAnsi="宋体" w:cs="宋体"/>
          <w:b/>
          <w:sz w:val="24"/>
        </w:rPr>
      </w:pPr>
    </w:p>
    <w:p>
      <w:pPr>
        <w:spacing w:line="360" w:lineRule="auto"/>
        <w:rPr>
          <w:rFonts w:ascii="宋体" w:hAnsi="宋体" w:cs="宋体"/>
          <w:b/>
          <w:sz w:val="24"/>
        </w:rPr>
      </w:pPr>
    </w:p>
    <w:p>
      <w:pPr>
        <w:pStyle w:val="95"/>
        <w:jc w:val="center"/>
        <w:rPr>
          <w:rFonts w:ascii="宋体" w:hAnsi="宋体" w:eastAsia="宋体"/>
          <w:b/>
          <w:szCs w:val="28"/>
        </w:rPr>
      </w:pPr>
      <w:r>
        <w:rPr>
          <w:rFonts w:hint="eastAsia" w:ascii="宋体" w:hAnsi="宋体" w:eastAsia="宋体"/>
          <w:b/>
          <w:szCs w:val="28"/>
        </w:rPr>
        <w:t>5.项目人员安排一览表</w:t>
      </w:r>
    </w:p>
    <w:tbl>
      <w:tblPr>
        <w:tblStyle w:val="3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693"/>
        <w:gridCol w:w="1134"/>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topLinePunct/>
              <w:spacing w:before="4"/>
              <w:jc w:val="center"/>
              <w:rPr>
                <w:rFonts w:ascii="宋体" w:hAnsi="宋体"/>
                <w:szCs w:val="21"/>
              </w:rPr>
            </w:pPr>
            <w:r>
              <w:rPr>
                <w:rFonts w:hint="eastAsia" w:ascii="宋体" w:hAnsi="宋体"/>
                <w:szCs w:val="21"/>
              </w:rPr>
              <w:t>序号</w:t>
            </w:r>
          </w:p>
        </w:tc>
        <w:tc>
          <w:tcPr>
            <w:tcW w:w="709" w:type="dxa"/>
            <w:vAlign w:val="center"/>
          </w:tcPr>
          <w:p>
            <w:pPr>
              <w:widowControl/>
              <w:topLinePunct/>
              <w:spacing w:before="4"/>
              <w:jc w:val="center"/>
              <w:rPr>
                <w:rFonts w:ascii="宋体" w:hAnsi="宋体"/>
                <w:szCs w:val="21"/>
              </w:rPr>
            </w:pPr>
            <w:r>
              <w:rPr>
                <w:rFonts w:hint="eastAsia" w:ascii="宋体" w:hAnsi="宋体"/>
                <w:szCs w:val="21"/>
              </w:rPr>
              <w:t>姓名</w:t>
            </w:r>
          </w:p>
        </w:tc>
        <w:tc>
          <w:tcPr>
            <w:tcW w:w="2693" w:type="dxa"/>
            <w:vAlign w:val="center"/>
          </w:tcPr>
          <w:p>
            <w:pPr>
              <w:widowControl/>
              <w:topLinePunct/>
              <w:spacing w:before="4"/>
              <w:jc w:val="center"/>
              <w:rPr>
                <w:rFonts w:ascii="宋体" w:hAnsi="宋体"/>
                <w:szCs w:val="21"/>
              </w:rPr>
            </w:pPr>
            <w:r>
              <w:rPr>
                <w:rFonts w:hint="eastAsia" w:ascii="宋体" w:hAnsi="宋体"/>
                <w:szCs w:val="21"/>
              </w:rPr>
              <w:t>在本项目中担任的职务</w:t>
            </w:r>
          </w:p>
        </w:tc>
        <w:tc>
          <w:tcPr>
            <w:tcW w:w="1134" w:type="dxa"/>
            <w:vAlign w:val="center"/>
          </w:tcPr>
          <w:p>
            <w:pPr>
              <w:widowControl/>
              <w:topLinePunct/>
              <w:spacing w:before="4"/>
              <w:jc w:val="center"/>
              <w:rPr>
                <w:rFonts w:ascii="宋体" w:hAnsi="宋体"/>
                <w:szCs w:val="21"/>
              </w:rPr>
            </w:pPr>
            <w:r>
              <w:rPr>
                <w:rFonts w:hint="eastAsia" w:ascii="宋体" w:hAnsi="宋体"/>
                <w:szCs w:val="21"/>
              </w:rPr>
              <w:t>身份证号</w:t>
            </w:r>
          </w:p>
        </w:tc>
        <w:tc>
          <w:tcPr>
            <w:tcW w:w="1843" w:type="dxa"/>
            <w:vAlign w:val="center"/>
          </w:tcPr>
          <w:p>
            <w:pPr>
              <w:widowControl/>
              <w:topLinePunct/>
              <w:spacing w:before="4"/>
              <w:jc w:val="center"/>
              <w:rPr>
                <w:rFonts w:ascii="宋体" w:hAnsi="宋体"/>
                <w:szCs w:val="21"/>
              </w:rPr>
            </w:pPr>
            <w:r>
              <w:rPr>
                <w:rFonts w:hint="eastAsia" w:ascii="宋体" w:hAnsi="宋体"/>
                <w:szCs w:val="21"/>
              </w:rPr>
              <w:t>职称/学历/证书</w:t>
            </w:r>
          </w:p>
        </w:tc>
        <w:tc>
          <w:tcPr>
            <w:tcW w:w="1701" w:type="dxa"/>
            <w:vAlign w:val="center"/>
          </w:tcPr>
          <w:p>
            <w:pPr>
              <w:widowControl/>
              <w:topLinePunct/>
              <w:spacing w:before="4"/>
              <w:jc w:val="center"/>
              <w:rPr>
                <w:rFonts w:ascii="宋体" w:hAnsi="宋体"/>
                <w:szCs w:val="21"/>
              </w:rPr>
            </w:pPr>
            <w:r>
              <w:rPr>
                <w:rFonts w:hint="eastAsia" w:ascii="宋体" w:hAnsi="宋体"/>
                <w:szCs w:val="21"/>
              </w:rPr>
              <w:t>主要资历、经验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709" w:type="dxa"/>
            <w:vAlign w:val="center"/>
          </w:tcPr>
          <w:p>
            <w:pPr>
              <w:widowControl/>
              <w:topLinePunct/>
              <w:spacing w:before="4"/>
              <w:jc w:val="center"/>
              <w:rPr>
                <w:rFonts w:ascii="宋体" w:hAnsi="宋体"/>
                <w:szCs w:val="21"/>
              </w:rPr>
            </w:pPr>
            <w:r>
              <w:rPr>
                <w:rFonts w:hint="eastAsia" w:ascii="宋体" w:hAnsi="宋体"/>
                <w:szCs w:val="21"/>
              </w:rPr>
              <w:t>1</w:t>
            </w:r>
          </w:p>
        </w:tc>
        <w:tc>
          <w:tcPr>
            <w:tcW w:w="709" w:type="dxa"/>
            <w:vAlign w:val="center"/>
          </w:tcPr>
          <w:p>
            <w:pPr>
              <w:topLinePunct/>
              <w:spacing w:before="4"/>
              <w:jc w:val="center"/>
              <w:rPr>
                <w:rFonts w:ascii="宋体" w:hAnsi="宋体"/>
                <w:szCs w:val="21"/>
              </w:rPr>
            </w:pPr>
            <w:r>
              <w:rPr>
                <w:rFonts w:hint="eastAsia" w:ascii="宋体" w:hAnsi="宋体"/>
                <w:szCs w:val="21"/>
              </w:rPr>
              <w:t>……</w:t>
            </w:r>
          </w:p>
        </w:tc>
        <w:tc>
          <w:tcPr>
            <w:tcW w:w="2693" w:type="dxa"/>
            <w:vAlign w:val="center"/>
          </w:tcPr>
          <w:p>
            <w:pPr>
              <w:widowControl/>
              <w:topLinePunct/>
              <w:spacing w:before="4"/>
              <w:jc w:val="center"/>
              <w:rPr>
                <w:rFonts w:ascii="宋体" w:hAnsi="宋体"/>
                <w:szCs w:val="21"/>
              </w:rPr>
            </w:pPr>
            <w:r>
              <w:rPr>
                <w:rFonts w:hint="eastAsia" w:ascii="宋体" w:hAnsi="宋体"/>
                <w:szCs w:val="21"/>
              </w:rPr>
              <w:t>项目负责人（请列明细）</w:t>
            </w:r>
          </w:p>
        </w:tc>
        <w:tc>
          <w:tcPr>
            <w:tcW w:w="1134" w:type="dxa"/>
          </w:tcPr>
          <w:p>
            <w:pPr>
              <w:widowControl/>
              <w:topLinePunct/>
              <w:spacing w:before="4"/>
              <w:jc w:val="center"/>
              <w:rPr>
                <w:rFonts w:ascii="宋体" w:hAnsi="宋体"/>
                <w:szCs w:val="21"/>
              </w:rPr>
            </w:pPr>
          </w:p>
        </w:tc>
        <w:tc>
          <w:tcPr>
            <w:tcW w:w="1843" w:type="dxa"/>
            <w:vAlign w:val="center"/>
          </w:tcPr>
          <w:p>
            <w:pPr>
              <w:widowControl/>
              <w:topLinePunct/>
              <w:spacing w:before="4"/>
              <w:jc w:val="center"/>
              <w:rPr>
                <w:rFonts w:ascii="宋体" w:hAnsi="宋体"/>
                <w:szCs w:val="21"/>
              </w:rPr>
            </w:pPr>
          </w:p>
        </w:tc>
        <w:tc>
          <w:tcPr>
            <w:tcW w:w="1701" w:type="dxa"/>
            <w:vAlign w:val="center"/>
          </w:tcPr>
          <w:p>
            <w:pPr>
              <w:widowControl/>
              <w:topLinePunct/>
              <w:spacing w:before="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709" w:type="dxa"/>
            <w:vAlign w:val="center"/>
          </w:tcPr>
          <w:p>
            <w:pPr>
              <w:widowControl/>
              <w:topLinePunct/>
              <w:jc w:val="center"/>
              <w:rPr>
                <w:rFonts w:ascii="宋体" w:hAnsi="宋体"/>
                <w:szCs w:val="21"/>
              </w:rPr>
            </w:pPr>
            <w:r>
              <w:rPr>
                <w:rFonts w:hint="eastAsia" w:ascii="宋体" w:hAnsi="宋体"/>
                <w:szCs w:val="21"/>
              </w:rPr>
              <w:t>2</w:t>
            </w:r>
          </w:p>
        </w:tc>
        <w:tc>
          <w:tcPr>
            <w:tcW w:w="709" w:type="dxa"/>
            <w:vAlign w:val="center"/>
          </w:tcPr>
          <w:p>
            <w:pPr>
              <w:topLinePunct/>
              <w:spacing w:before="4"/>
              <w:jc w:val="center"/>
              <w:rPr>
                <w:rFonts w:ascii="宋体" w:hAnsi="宋体"/>
                <w:szCs w:val="21"/>
              </w:rPr>
            </w:pPr>
            <w:r>
              <w:rPr>
                <w:rFonts w:hint="eastAsia" w:ascii="宋体" w:hAnsi="宋体"/>
                <w:szCs w:val="21"/>
              </w:rPr>
              <w:t>……</w:t>
            </w:r>
          </w:p>
        </w:tc>
        <w:tc>
          <w:tcPr>
            <w:tcW w:w="2693" w:type="dxa"/>
            <w:vAlign w:val="center"/>
          </w:tcPr>
          <w:p>
            <w:pPr>
              <w:widowControl/>
              <w:topLinePunct/>
              <w:rPr>
                <w:rFonts w:ascii="宋体" w:hAnsi="宋体"/>
                <w:szCs w:val="21"/>
              </w:rPr>
            </w:pPr>
            <w:r>
              <w:rPr>
                <w:rFonts w:hint="eastAsia" w:ascii="宋体" w:hAnsi="宋体"/>
                <w:szCs w:val="21"/>
              </w:rPr>
              <w:t>项目实施人员（请列明细）</w:t>
            </w:r>
          </w:p>
        </w:tc>
        <w:tc>
          <w:tcPr>
            <w:tcW w:w="1134" w:type="dxa"/>
          </w:tcPr>
          <w:p>
            <w:pPr>
              <w:widowControl/>
              <w:topLinePunct/>
              <w:jc w:val="center"/>
              <w:rPr>
                <w:rFonts w:ascii="宋体" w:hAnsi="宋体"/>
                <w:szCs w:val="21"/>
              </w:rPr>
            </w:pPr>
          </w:p>
        </w:tc>
        <w:tc>
          <w:tcPr>
            <w:tcW w:w="1843" w:type="dxa"/>
            <w:vAlign w:val="center"/>
          </w:tcPr>
          <w:p>
            <w:pPr>
              <w:widowControl/>
              <w:topLinePunct/>
              <w:jc w:val="center"/>
              <w:rPr>
                <w:rFonts w:ascii="宋体" w:hAnsi="宋体"/>
                <w:szCs w:val="21"/>
              </w:rPr>
            </w:pPr>
          </w:p>
        </w:tc>
        <w:tc>
          <w:tcPr>
            <w:tcW w:w="1701" w:type="dxa"/>
            <w:vAlign w:val="center"/>
          </w:tcPr>
          <w:p>
            <w:pPr>
              <w:widowControl/>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709" w:type="dxa"/>
            <w:vAlign w:val="center"/>
          </w:tcPr>
          <w:p>
            <w:pPr>
              <w:widowControl/>
              <w:topLinePunct/>
              <w:jc w:val="center"/>
              <w:rPr>
                <w:rFonts w:ascii="宋体" w:hAnsi="宋体"/>
                <w:szCs w:val="21"/>
              </w:rPr>
            </w:pPr>
          </w:p>
        </w:tc>
        <w:tc>
          <w:tcPr>
            <w:tcW w:w="709" w:type="dxa"/>
            <w:vAlign w:val="center"/>
          </w:tcPr>
          <w:p>
            <w:pPr>
              <w:topLinePunct/>
              <w:spacing w:before="4"/>
              <w:jc w:val="center"/>
              <w:rPr>
                <w:rFonts w:ascii="宋体" w:hAnsi="宋体"/>
                <w:szCs w:val="21"/>
              </w:rPr>
            </w:pPr>
          </w:p>
        </w:tc>
        <w:tc>
          <w:tcPr>
            <w:tcW w:w="2693" w:type="dxa"/>
            <w:vAlign w:val="center"/>
          </w:tcPr>
          <w:p>
            <w:pPr>
              <w:widowControl/>
              <w:topLinePunct/>
              <w:jc w:val="center"/>
              <w:rPr>
                <w:rFonts w:ascii="宋体" w:hAnsi="宋体"/>
                <w:szCs w:val="21"/>
              </w:rPr>
            </w:pPr>
          </w:p>
        </w:tc>
        <w:tc>
          <w:tcPr>
            <w:tcW w:w="1134" w:type="dxa"/>
          </w:tcPr>
          <w:p>
            <w:pPr>
              <w:widowControl/>
              <w:topLinePunct/>
              <w:jc w:val="center"/>
              <w:rPr>
                <w:rFonts w:ascii="宋体" w:hAnsi="宋体"/>
                <w:szCs w:val="21"/>
              </w:rPr>
            </w:pPr>
          </w:p>
        </w:tc>
        <w:tc>
          <w:tcPr>
            <w:tcW w:w="1843" w:type="dxa"/>
            <w:vAlign w:val="center"/>
          </w:tcPr>
          <w:p>
            <w:pPr>
              <w:widowControl/>
              <w:topLinePunct/>
              <w:jc w:val="center"/>
              <w:rPr>
                <w:rFonts w:ascii="宋体" w:hAnsi="宋体"/>
                <w:szCs w:val="21"/>
              </w:rPr>
            </w:pPr>
          </w:p>
        </w:tc>
        <w:tc>
          <w:tcPr>
            <w:tcW w:w="1701" w:type="dxa"/>
            <w:vAlign w:val="center"/>
          </w:tcPr>
          <w:p>
            <w:pPr>
              <w:widowControl/>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709" w:type="dxa"/>
            <w:vAlign w:val="center"/>
          </w:tcPr>
          <w:p>
            <w:pPr>
              <w:widowControl/>
              <w:topLinePunct/>
              <w:jc w:val="center"/>
              <w:rPr>
                <w:rFonts w:ascii="宋体" w:hAnsi="宋体"/>
                <w:szCs w:val="21"/>
              </w:rPr>
            </w:pPr>
          </w:p>
        </w:tc>
        <w:tc>
          <w:tcPr>
            <w:tcW w:w="709" w:type="dxa"/>
            <w:vAlign w:val="center"/>
          </w:tcPr>
          <w:p>
            <w:pPr>
              <w:topLinePunct/>
              <w:spacing w:before="4"/>
              <w:jc w:val="center"/>
              <w:rPr>
                <w:rFonts w:ascii="宋体" w:hAnsi="宋体"/>
                <w:szCs w:val="21"/>
              </w:rPr>
            </w:pPr>
          </w:p>
        </w:tc>
        <w:tc>
          <w:tcPr>
            <w:tcW w:w="2693" w:type="dxa"/>
            <w:vAlign w:val="center"/>
          </w:tcPr>
          <w:p>
            <w:pPr>
              <w:widowControl/>
              <w:topLinePunct/>
              <w:jc w:val="center"/>
              <w:rPr>
                <w:rFonts w:ascii="宋体" w:hAnsi="宋体"/>
                <w:szCs w:val="21"/>
              </w:rPr>
            </w:pPr>
          </w:p>
        </w:tc>
        <w:tc>
          <w:tcPr>
            <w:tcW w:w="1134" w:type="dxa"/>
          </w:tcPr>
          <w:p>
            <w:pPr>
              <w:widowControl/>
              <w:topLinePunct/>
              <w:jc w:val="center"/>
              <w:rPr>
                <w:rFonts w:ascii="宋体" w:hAnsi="宋体"/>
                <w:szCs w:val="21"/>
              </w:rPr>
            </w:pPr>
          </w:p>
        </w:tc>
        <w:tc>
          <w:tcPr>
            <w:tcW w:w="1843" w:type="dxa"/>
            <w:vAlign w:val="center"/>
          </w:tcPr>
          <w:p>
            <w:pPr>
              <w:widowControl/>
              <w:topLinePunct/>
              <w:jc w:val="center"/>
              <w:rPr>
                <w:rFonts w:ascii="宋体" w:hAnsi="宋体"/>
                <w:szCs w:val="21"/>
              </w:rPr>
            </w:pPr>
          </w:p>
        </w:tc>
        <w:tc>
          <w:tcPr>
            <w:tcW w:w="1701" w:type="dxa"/>
            <w:vAlign w:val="center"/>
          </w:tcPr>
          <w:p>
            <w:pPr>
              <w:widowControl/>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709" w:type="dxa"/>
            <w:vAlign w:val="center"/>
          </w:tcPr>
          <w:p>
            <w:pPr>
              <w:widowControl/>
              <w:topLinePunct/>
              <w:jc w:val="center"/>
              <w:rPr>
                <w:rFonts w:ascii="宋体" w:hAnsi="宋体"/>
                <w:szCs w:val="21"/>
              </w:rPr>
            </w:pPr>
          </w:p>
        </w:tc>
        <w:tc>
          <w:tcPr>
            <w:tcW w:w="709" w:type="dxa"/>
            <w:vAlign w:val="center"/>
          </w:tcPr>
          <w:p>
            <w:pPr>
              <w:topLinePunct/>
              <w:spacing w:before="4"/>
              <w:jc w:val="center"/>
              <w:rPr>
                <w:rFonts w:ascii="宋体" w:hAnsi="宋体"/>
                <w:szCs w:val="21"/>
              </w:rPr>
            </w:pPr>
          </w:p>
        </w:tc>
        <w:tc>
          <w:tcPr>
            <w:tcW w:w="2693" w:type="dxa"/>
            <w:vAlign w:val="center"/>
          </w:tcPr>
          <w:p>
            <w:pPr>
              <w:widowControl/>
              <w:topLinePunct/>
              <w:jc w:val="center"/>
              <w:rPr>
                <w:rFonts w:ascii="宋体" w:hAnsi="宋体"/>
                <w:szCs w:val="21"/>
              </w:rPr>
            </w:pPr>
          </w:p>
        </w:tc>
        <w:tc>
          <w:tcPr>
            <w:tcW w:w="1134" w:type="dxa"/>
          </w:tcPr>
          <w:p>
            <w:pPr>
              <w:widowControl/>
              <w:topLinePunct/>
              <w:jc w:val="center"/>
              <w:rPr>
                <w:rFonts w:ascii="宋体" w:hAnsi="宋体"/>
                <w:szCs w:val="21"/>
              </w:rPr>
            </w:pPr>
          </w:p>
        </w:tc>
        <w:tc>
          <w:tcPr>
            <w:tcW w:w="1843" w:type="dxa"/>
            <w:vAlign w:val="center"/>
          </w:tcPr>
          <w:p>
            <w:pPr>
              <w:widowControl/>
              <w:topLinePunct/>
              <w:jc w:val="center"/>
              <w:rPr>
                <w:rFonts w:ascii="宋体" w:hAnsi="宋体"/>
                <w:szCs w:val="21"/>
              </w:rPr>
            </w:pPr>
          </w:p>
        </w:tc>
        <w:tc>
          <w:tcPr>
            <w:tcW w:w="1701" w:type="dxa"/>
            <w:vAlign w:val="center"/>
          </w:tcPr>
          <w:p>
            <w:pPr>
              <w:widowControl/>
              <w:topLinePun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709" w:type="dxa"/>
          </w:tcPr>
          <w:p>
            <w:pPr>
              <w:widowControl/>
              <w:topLinePunct/>
              <w:spacing w:before="4"/>
              <w:jc w:val="center"/>
              <w:rPr>
                <w:rFonts w:ascii="宋体" w:hAnsi="宋体"/>
                <w:szCs w:val="21"/>
              </w:rPr>
            </w:pPr>
          </w:p>
        </w:tc>
        <w:tc>
          <w:tcPr>
            <w:tcW w:w="709" w:type="dxa"/>
            <w:vAlign w:val="center"/>
          </w:tcPr>
          <w:p>
            <w:pPr>
              <w:topLinePunct/>
              <w:spacing w:before="4"/>
              <w:jc w:val="center"/>
              <w:rPr>
                <w:rFonts w:ascii="宋体" w:hAnsi="宋体"/>
                <w:szCs w:val="21"/>
              </w:rPr>
            </w:pPr>
            <w:r>
              <w:rPr>
                <w:rFonts w:hint="eastAsia" w:ascii="宋体" w:hAnsi="宋体"/>
                <w:szCs w:val="21"/>
              </w:rPr>
              <w:t>……</w:t>
            </w:r>
          </w:p>
        </w:tc>
        <w:tc>
          <w:tcPr>
            <w:tcW w:w="2693" w:type="dxa"/>
            <w:vAlign w:val="center"/>
          </w:tcPr>
          <w:p>
            <w:pPr>
              <w:widowControl/>
              <w:topLinePunct/>
              <w:spacing w:before="4"/>
              <w:jc w:val="center"/>
              <w:rPr>
                <w:rFonts w:ascii="宋体" w:hAnsi="宋体"/>
                <w:szCs w:val="21"/>
              </w:rPr>
            </w:pPr>
            <w:r>
              <w:rPr>
                <w:rFonts w:hint="eastAsia" w:ascii="宋体" w:hAnsi="宋体"/>
                <w:szCs w:val="21"/>
              </w:rPr>
              <w:t>其他人员（请列明细）</w:t>
            </w:r>
          </w:p>
        </w:tc>
        <w:tc>
          <w:tcPr>
            <w:tcW w:w="1134" w:type="dxa"/>
          </w:tcPr>
          <w:p>
            <w:pPr>
              <w:widowControl/>
              <w:topLinePunct/>
              <w:spacing w:before="4"/>
              <w:jc w:val="center"/>
              <w:rPr>
                <w:rFonts w:ascii="宋体" w:hAnsi="宋体"/>
                <w:szCs w:val="21"/>
              </w:rPr>
            </w:pPr>
          </w:p>
        </w:tc>
        <w:tc>
          <w:tcPr>
            <w:tcW w:w="1843" w:type="dxa"/>
            <w:vAlign w:val="center"/>
          </w:tcPr>
          <w:p>
            <w:pPr>
              <w:widowControl/>
              <w:topLinePunct/>
              <w:spacing w:before="4"/>
              <w:jc w:val="center"/>
              <w:rPr>
                <w:rFonts w:ascii="宋体" w:hAnsi="宋体"/>
                <w:szCs w:val="21"/>
              </w:rPr>
            </w:pPr>
          </w:p>
        </w:tc>
        <w:tc>
          <w:tcPr>
            <w:tcW w:w="1701" w:type="dxa"/>
            <w:vAlign w:val="center"/>
          </w:tcPr>
          <w:p>
            <w:pPr>
              <w:widowControl/>
              <w:topLinePunct/>
              <w:spacing w:before="4"/>
              <w:jc w:val="center"/>
              <w:rPr>
                <w:rFonts w:ascii="宋体" w:hAnsi="宋体"/>
                <w:szCs w:val="21"/>
              </w:rPr>
            </w:pPr>
          </w:p>
        </w:tc>
      </w:tr>
    </w:tbl>
    <w:p>
      <w:pPr>
        <w:widowControl/>
        <w:topLinePunct/>
        <w:snapToGrid w:val="0"/>
        <w:spacing w:before="4"/>
        <w:rPr>
          <w:rFonts w:ascii="宋体" w:hAnsi="宋体"/>
          <w:szCs w:val="21"/>
        </w:rPr>
      </w:pPr>
    </w:p>
    <w:p>
      <w:pPr>
        <w:widowControl/>
        <w:topLinePunct/>
        <w:snapToGrid w:val="0"/>
        <w:spacing w:before="4"/>
        <w:rPr>
          <w:rFonts w:ascii="宋体" w:hAnsi="宋体"/>
          <w:szCs w:val="21"/>
        </w:rPr>
      </w:pPr>
      <w:r>
        <w:rPr>
          <w:rFonts w:hint="eastAsia" w:ascii="宋体" w:hAnsi="宋体"/>
          <w:szCs w:val="21"/>
        </w:rPr>
        <w:t>投标供应商全称（公章）：</w:t>
      </w:r>
      <w:r>
        <w:rPr>
          <w:rFonts w:hint="eastAsia" w:ascii="宋体" w:hAnsi="宋体"/>
          <w:szCs w:val="21"/>
          <w:u w:val="single"/>
        </w:rPr>
        <w:t xml:space="preserve">        </w:t>
      </w:r>
      <w:r>
        <w:rPr>
          <w:rFonts w:hint="eastAsia" w:ascii="宋体" w:hAnsi="宋体"/>
          <w:szCs w:val="21"/>
        </w:rPr>
        <w:t xml:space="preserve">     法定代表人（授权代表）（签字或盖章）：</w:t>
      </w:r>
      <w:r>
        <w:rPr>
          <w:rFonts w:hint="eastAsia"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注：（1）此表为表样，行数可自行添加，但表式不变。</w:t>
      </w:r>
    </w:p>
    <w:p>
      <w:pPr>
        <w:ind w:firstLine="420" w:firstLineChars="200"/>
        <w:rPr>
          <w:rFonts w:hAnsi="宋体"/>
          <w:b/>
        </w:rPr>
      </w:pPr>
      <w:r>
        <w:rPr>
          <w:rFonts w:hint="eastAsia" w:ascii="宋体" w:hAnsi="宋体"/>
          <w:szCs w:val="21"/>
        </w:rPr>
        <w:t>（2）项目人员资质、本单位员工的证明文件等另附。</w:t>
      </w:r>
      <w:r>
        <w:rPr>
          <w:rFonts w:hint="eastAsia" w:ascii="宋体" w:hAnsi="宋体" w:cs="宋体"/>
          <w:b/>
          <w:sz w:val="24"/>
        </w:rPr>
        <w:t xml:space="preserve">       </w:t>
      </w:r>
    </w:p>
    <w:p>
      <w:pPr>
        <w:snapToGrid w:val="0"/>
        <w:spacing w:before="120" w:line="360" w:lineRule="auto"/>
        <w:ind w:right="357" w:firstLine="210" w:firstLineChars="100"/>
        <w:rPr>
          <w:rFonts w:ascii="宋体" w:hAnsi="宋体" w:cs="宋体"/>
          <w:b/>
          <w:sz w:val="28"/>
          <w:szCs w:val="28"/>
        </w:rPr>
      </w:pPr>
      <w:r>
        <w:rPr>
          <w:rFonts w:hint="eastAsia" w:ascii="宋体" w:hAnsi="宋体" w:cs="宋体"/>
        </w:rPr>
        <w:t>（3）须提供职称证书复印件及由社保部门出具的公司近三个月（连续）为上表人员缴纳社保金的证明复印件。</w:t>
      </w:r>
    </w:p>
    <w:p>
      <w:pPr>
        <w:spacing w:line="360" w:lineRule="exact"/>
        <w:rPr>
          <w:rFonts w:ascii="宋体" w:hAnsi="宋体" w:cs="宋体"/>
          <w:sz w:val="24"/>
        </w:rPr>
      </w:pPr>
    </w:p>
    <w:p>
      <w:pPr>
        <w:spacing w:line="360" w:lineRule="exact"/>
        <w:rPr>
          <w:rFonts w:ascii="宋体" w:hAnsi="宋体" w:cs="宋体"/>
          <w:sz w:val="24"/>
        </w:rPr>
      </w:pPr>
    </w:p>
    <w:p>
      <w:pPr>
        <w:spacing w:line="360" w:lineRule="auto"/>
        <w:jc w:val="center"/>
        <w:outlineLvl w:val="1"/>
        <w:rPr>
          <w:rFonts w:ascii="宋体" w:hAnsi="宋体"/>
          <w:b/>
          <w:spacing w:val="6"/>
          <w:sz w:val="24"/>
        </w:rPr>
      </w:pPr>
    </w:p>
    <w:p>
      <w:pPr>
        <w:pStyle w:val="95"/>
        <w:jc w:val="center"/>
        <w:rPr>
          <w:rFonts w:ascii="宋体" w:hAnsi="宋体" w:eastAsia="宋体"/>
          <w:b/>
          <w:szCs w:val="28"/>
        </w:rPr>
      </w:pPr>
      <w:r>
        <w:rPr>
          <w:rFonts w:hint="eastAsia" w:ascii="宋体" w:hAnsi="宋体" w:eastAsia="宋体"/>
          <w:b/>
          <w:szCs w:val="28"/>
        </w:rPr>
        <w:t>6.企业自有设备明细一览表</w:t>
      </w:r>
    </w:p>
    <w:tbl>
      <w:tblPr>
        <w:tblStyle w:val="38"/>
        <w:tblW w:w="0" w:type="auto"/>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58"/>
        <w:gridCol w:w="1336"/>
        <w:gridCol w:w="1142"/>
        <w:gridCol w:w="1531"/>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8"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r>
              <w:rPr>
                <w:rFonts w:hint="eastAsia" w:ascii="宋体" w:hAnsi="宋体" w:cs="宋体"/>
                <w:sz w:val="24"/>
              </w:rPr>
              <w:t>序号</w:t>
            </w:r>
          </w:p>
        </w:tc>
        <w:tc>
          <w:tcPr>
            <w:tcW w:w="1458"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r>
              <w:rPr>
                <w:rFonts w:hint="eastAsia" w:ascii="宋体" w:hAnsi="宋体" w:cs="宋体"/>
                <w:sz w:val="24"/>
              </w:rPr>
              <w:t>设备名称</w:t>
            </w:r>
          </w:p>
        </w:tc>
        <w:tc>
          <w:tcPr>
            <w:tcW w:w="1336"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r>
              <w:rPr>
                <w:rFonts w:hint="eastAsia" w:ascii="宋体" w:hAnsi="宋体" w:cs="宋体"/>
                <w:sz w:val="24"/>
              </w:rPr>
              <w:t>设备数量</w:t>
            </w:r>
          </w:p>
        </w:tc>
        <w:tc>
          <w:tcPr>
            <w:tcW w:w="1142"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r>
              <w:rPr>
                <w:rFonts w:hint="eastAsia" w:ascii="宋体" w:hAnsi="宋体" w:cs="宋体"/>
                <w:sz w:val="24"/>
              </w:rPr>
              <w:t>购置日期</w:t>
            </w:r>
          </w:p>
        </w:tc>
        <w:tc>
          <w:tcPr>
            <w:tcW w:w="1531"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r>
              <w:rPr>
                <w:rFonts w:hint="eastAsia" w:ascii="宋体" w:hAnsi="宋体" w:cs="宋体"/>
                <w:sz w:val="24"/>
              </w:rPr>
              <w:t>目前使用状况</w:t>
            </w:r>
          </w:p>
        </w:tc>
        <w:tc>
          <w:tcPr>
            <w:tcW w:w="1725"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r>
              <w:rPr>
                <w:rFonts w:hint="eastAsia" w:ascii="宋体" w:hAnsi="宋体" w:cs="宋体"/>
                <w:spacing w:val="-10"/>
                <w:sz w:val="24"/>
                <w:szCs w:val="24"/>
              </w:rPr>
              <w:t>在本项目中投入使用情况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8"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r>
              <w:rPr>
                <w:rFonts w:hint="eastAsia" w:ascii="宋体" w:hAnsi="宋体" w:cs="宋体"/>
                <w:sz w:val="24"/>
              </w:rPr>
              <w:t>1</w:t>
            </w:r>
          </w:p>
        </w:tc>
        <w:tc>
          <w:tcPr>
            <w:tcW w:w="1458"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登高作业车</w:t>
            </w:r>
          </w:p>
        </w:tc>
        <w:tc>
          <w:tcPr>
            <w:tcW w:w="1336"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142"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531"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725"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8"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r>
              <w:rPr>
                <w:rFonts w:hint="eastAsia" w:ascii="宋体" w:hAnsi="宋体" w:cs="宋体"/>
                <w:sz w:val="24"/>
              </w:rPr>
              <w:t>2</w:t>
            </w:r>
          </w:p>
        </w:tc>
        <w:tc>
          <w:tcPr>
            <w:tcW w:w="1458"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24"/>
                <w:szCs w:val="24"/>
              </w:rPr>
            </w:pPr>
            <w:r>
              <w:rPr>
                <w:rFonts w:hint="eastAsia" w:ascii="宋体" w:hAnsi="宋体" w:cs="宋体"/>
                <w:szCs w:val="21"/>
              </w:rPr>
              <w:t>清运卡车</w:t>
            </w:r>
          </w:p>
        </w:tc>
        <w:tc>
          <w:tcPr>
            <w:tcW w:w="1336"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142"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531"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725"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8"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r>
              <w:rPr>
                <w:rFonts w:hint="eastAsia" w:ascii="宋体" w:hAnsi="宋体" w:cs="宋体"/>
                <w:sz w:val="24"/>
              </w:rPr>
              <w:t>3</w:t>
            </w:r>
          </w:p>
        </w:tc>
        <w:tc>
          <w:tcPr>
            <w:tcW w:w="1458"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24"/>
                <w:szCs w:val="24"/>
              </w:rPr>
            </w:pPr>
            <w:r>
              <w:rPr>
                <w:rFonts w:hint="eastAsia" w:ascii="宋体" w:hAnsi="宋体" w:cs="宋体"/>
                <w:szCs w:val="21"/>
              </w:rPr>
              <w:t>洒水车</w:t>
            </w:r>
          </w:p>
        </w:tc>
        <w:tc>
          <w:tcPr>
            <w:tcW w:w="1336"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142"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531"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725"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8"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1458" w:type="dxa"/>
            <w:tcBorders>
              <w:top w:val="single" w:color="auto" w:sz="4" w:space="0"/>
              <w:left w:val="single" w:color="auto" w:sz="4" w:space="0"/>
              <w:bottom w:val="single" w:color="auto" w:sz="4" w:space="0"/>
              <w:right w:val="single" w:color="auto" w:sz="4" w:space="0"/>
            </w:tcBorders>
          </w:tcPr>
          <w:p>
            <w:r>
              <w:rPr>
                <w:rFonts w:hint="eastAsia" w:ascii="宋体" w:hAnsi="宋体" w:cs="宋体"/>
                <w:szCs w:val="21"/>
              </w:rPr>
              <w:t>小型枝条粉碎机</w:t>
            </w:r>
          </w:p>
          <w:p>
            <w:pPr>
              <w:overflowPunct w:val="0"/>
              <w:adjustRightInd w:val="0"/>
              <w:spacing w:line="360" w:lineRule="auto"/>
              <w:jc w:val="center"/>
              <w:rPr>
                <w:rFonts w:ascii="宋体" w:hAnsi="宋体" w:cs="宋体"/>
                <w:kern w:val="0"/>
                <w:sz w:val="24"/>
                <w:szCs w:val="24"/>
              </w:rPr>
            </w:pPr>
          </w:p>
        </w:tc>
        <w:tc>
          <w:tcPr>
            <w:tcW w:w="1336"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142"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531"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725"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8"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r>
              <w:rPr>
                <w:rFonts w:hint="eastAsia" w:ascii="宋体" w:hAnsi="宋体" w:cs="宋体"/>
                <w:sz w:val="24"/>
                <w:szCs w:val="28"/>
              </w:rPr>
              <w:t>…</w:t>
            </w:r>
          </w:p>
        </w:tc>
        <w:tc>
          <w:tcPr>
            <w:tcW w:w="1458"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336"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142"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531"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c>
          <w:tcPr>
            <w:tcW w:w="1725" w:type="dxa"/>
            <w:tcBorders>
              <w:top w:val="single" w:color="auto" w:sz="4" w:space="0"/>
              <w:left w:val="single" w:color="auto" w:sz="4" w:space="0"/>
              <w:bottom w:val="single" w:color="auto" w:sz="4" w:space="0"/>
              <w:right w:val="single" w:color="auto" w:sz="4" w:space="0"/>
            </w:tcBorders>
          </w:tcPr>
          <w:p>
            <w:pPr>
              <w:overflowPunct w:val="0"/>
              <w:adjustRightInd w:val="0"/>
              <w:spacing w:line="360" w:lineRule="auto"/>
              <w:jc w:val="center"/>
              <w:rPr>
                <w:rFonts w:ascii="宋体" w:hAnsi="宋体" w:cs="宋体"/>
                <w:kern w:val="0"/>
                <w:sz w:val="24"/>
                <w:szCs w:val="24"/>
              </w:rPr>
            </w:pPr>
          </w:p>
        </w:tc>
      </w:tr>
    </w:tbl>
    <w:p>
      <w:pPr>
        <w:spacing w:line="360" w:lineRule="auto"/>
        <w:outlineLvl w:val="0"/>
        <w:rPr>
          <w:rFonts w:hAnsi="宋体" w:cs="宋体"/>
          <w:b/>
          <w:sz w:val="24"/>
        </w:rPr>
      </w:pPr>
    </w:p>
    <w:p>
      <w:pPr>
        <w:widowControl/>
        <w:topLinePunct/>
        <w:snapToGrid w:val="0"/>
        <w:spacing w:before="4"/>
        <w:rPr>
          <w:rFonts w:ascii="宋体" w:hAnsi="宋体"/>
          <w:szCs w:val="21"/>
        </w:rPr>
      </w:pPr>
      <w:r>
        <w:rPr>
          <w:rFonts w:hint="eastAsia" w:ascii="宋体" w:hAnsi="宋体"/>
          <w:szCs w:val="21"/>
        </w:rPr>
        <w:t>投标供应商全称（公章）：</w:t>
      </w:r>
      <w:r>
        <w:rPr>
          <w:rFonts w:hint="eastAsia" w:ascii="宋体" w:hAnsi="宋体"/>
          <w:szCs w:val="21"/>
          <w:u w:val="single"/>
        </w:rPr>
        <w:t xml:space="preserve">        </w:t>
      </w:r>
      <w:r>
        <w:rPr>
          <w:rFonts w:hint="eastAsia" w:ascii="宋体" w:hAnsi="宋体"/>
          <w:szCs w:val="21"/>
        </w:rPr>
        <w:t xml:space="preserve">     法定代表人（授权代表）（签字或盖章）：</w:t>
      </w:r>
      <w:r>
        <w:rPr>
          <w:rFonts w:hint="eastAsia" w:ascii="宋体" w:hAnsi="宋体"/>
          <w:szCs w:val="21"/>
          <w:u w:val="single"/>
        </w:rPr>
        <w:t xml:space="preserve">       </w:t>
      </w:r>
    </w:p>
    <w:p>
      <w:pPr>
        <w:rPr>
          <w:rFonts w:ascii="宋体" w:hAnsi="宋体"/>
          <w:szCs w:val="21"/>
        </w:rPr>
      </w:pPr>
    </w:p>
    <w:p>
      <w:pPr>
        <w:widowControl/>
        <w:topLinePunct/>
        <w:snapToGrid w:val="0"/>
        <w:spacing w:before="4"/>
        <w:rPr>
          <w:rFonts w:ascii="宋体" w:hAnsi="宋体"/>
          <w:szCs w:val="21"/>
        </w:rPr>
      </w:pPr>
      <w:r>
        <w:rPr>
          <w:rFonts w:hint="eastAsia" w:ascii="宋体" w:hAnsi="宋体"/>
          <w:szCs w:val="21"/>
        </w:rPr>
        <w:t>注：需提供购买发票或车辆登记证的复印件加盖公章，予以证明</w:t>
      </w:r>
    </w:p>
    <w:p>
      <w:pPr>
        <w:spacing w:line="360" w:lineRule="auto"/>
        <w:outlineLvl w:val="0"/>
        <w:rPr>
          <w:rFonts w:hAnsi="宋体" w:cs="宋体"/>
          <w:b/>
          <w:sz w:val="24"/>
        </w:rPr>
      </w:pPr>
    </w:p>
    <w:p>
      <w:pPr>
        <w:spacing w:line="360" w:lineRule="auto"/>
        <w:outlineLvl w:val="0"/>
        <w:rPr>
          <w:rFonts w:hAnsi="宋体" w:cs="宋体"/>
          <w:b/>
          <w:sz w:val="24"/>
        </w:rPr>
      </w:pPr>
    </w:p>
    <w:p>
      <w:pPr>
        <w:pStyle w:val="95"/>
        <w:jc w:val="center"/>
        <w:rPr>
          <w:rFonts w:ascii="宋体" w:hAnsi="宋体" w:eastAsia="宋体"/>
          <w:b/>
          <w:szCs w:val="28"/>
        </w:rPr>
      </w:pPr>
      <w:bookmarkStart w:id="383" w:name="_Toc508049181"/>
      <w:r>
        <w:rPr>
          <w:rFonts w:hint="eastAsia" w:ascii="宋体" w:hAnsi="宋体" w:eastAsia="宋体"/>
          <w:b/>
          <w:szCs w:val="28"/>
        </w:rPr>
        <w:t>7.成功案例（提供合同复印件）</w:t>
      </w:r>
      <w:bookmarkEnd w:id="383"/>
    </w:p>
    <w:tbl>
      <w:tblPr>
        <w:tblStyle w:val="38"/>
        <w:tblW w:w="8769"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028"/>
        <w:gridCol w:w="1196"/>
        <w:gridCol w:w="1491"/>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52" w:type="dxa"/>
            <w:vAlign w:val="center"/>
          </w:tcPr>
          <w:p>
            <w:pPr>
              <w:ind w:left="-20"/>
              <w:jc w:val="center"/>
              <w:rPr>
                <w:rFonts w:ascii="宋体" w:hAnsi="宋体"/>
                <w:szCs w:val="21"/>
              </w:rPr>
            </w:pPr>
            <w:r>
              <w:rPr>
                <w:rFonts w:hint="eastAsia" w:ascii="宋体" w:hAnsi="宋体"/>
                <w:szCs w:val="21"/>
              </w:rPr>
              <w:t>序号</w:t>
            </w:r>
          </w:p>
        </w:tc>
        <w:tc>
          <w:tcPr>
            <w:tcW w:w="2028" w:type="dxa"/>
            <w:vAlign w:val="center"/>
          </w:tcPr>
          <w:p>
            <w:pPr>
              <w:jc w:val="center"/>
              <w:rPr>
                <w:rFonts w:ascii="宋体" w:hAnsi="宋体"/>
                <w:szCs w:val="21"/>
              </w:rPr>
            </w:pPr>
            <w:r>
              <w:rPr>
                <w:rFonts w:hint="eastAsia" w:ascii="宋体" w:hAnsi="宋体"/>
                <w:szCs w:val="21"/>
              </w:rPr>
              <w:t>项目名称</w:t>
            </w:r>
          </w:p>
        </w:tc>
        <w:tc>
          <w:tcPr>
            <w:tcW w:w="1196" w:type="dxa"/>
            <w:vAlign w:val="center"/>
          </w:tcPr>
          <w:p>
            <w:pPr>
              <w:widowControl/>
              <w:jc w:val="center"/>
              <w:rPr>
                <w:rFonts w:ascii="宋体" w:hAnsi="宋体"/>
                <w:szCs w:val="21"/>
              </w:rPr>
            </w:pPr>
            <w:r>
              <w:rPr>
                <w:rFonts w:hint="eastAsia" w:ascii="宋体" w:hAnsi="宋体"/>
                <w:szCs w:val="21"/>
              </w:rPr>
              <w:t>采购单位</w:t>
            </w:r>
          </w:p>
        </w:tc>
        <w:tc>
          <w:tcPr>
            <w:tcW w:w="1491" w:type="dxa"/>
            <w:vAlign w:val="center"/>
          </w:tcPr>
          <w:p>
            <w:pPr>
              <w:widowControl/>
              <w:jc w:val="center"/>
              <w:rPr>
                <w:rFonts w:ascii="宋体" w:hAnsi="宋体"/>
                <w:szCs w:val="21"/>
              </w:rPr>
            </w:pPr>
            <w:r>
              <w:rPr>
                <w:rFonts w:hint="eastAsia" w:ascii="宋体" w:hAnsi="宋体"/>
                <w:szCs w:val="21"/>
              </w:rPr>
              <w:t>签订时间</w:t>
            </w:r>
          </w:p>
        </w:tc>
        <w:tc>
          <w:tcPr>
            <w:tcW w:w="1843" w:type="dxa"/>
            <w:vAlign w:val="center"/>
          </w:tcPr>
          <w:p>
            <w:pPr>
              <w:widowControl/>
              <w:jc w:val="center"/>
              <w:rPr>
                <w:rFonts w:ascii="宋体" w:hAnsi="宋体"/>
                <w:szCs w:val="21"/>
              </w:rPr>
            </w:pPr>
            <w:r>
              <w:rPr>
                <w:rFonts w:hint="eastAsia" w:ascii="宋体" w:hAnsi="宋体"/>
                <w:szCs w:val="21"/>
              </w:rPr>
              <w:t>合同金额（万元）</w:t>
            </w:r>
          </w:p>
        </w:tc>
        <w:tc>
          <w:tcPr>
            <w:tcW w:w="1559" w:type="dxa"/>
            <w:vAlign w:val="center"/>
          </w:tcPr>
          <w:p>
            <w:pPr>
              <w:widowControl/>
              <w:jc w:val="center"/>
              <w:rPr>
                <w:rFonts w:ascii="宋体" w:hAnsi="宋体"/>
                <w:szCs w:val="21"/>
              </w:rPr>
            </w:pPr>
            <w:r>
              <w:rPr>
                <w:rFonts w:hint="eastAsia" w:ascii="宋体" w:hAnsi="宋体"/>
                <w:szCs w:val="21"/>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2" w:type="dxa"/>
            <w:vAlign w:val="center"/>
          </w:tcPr>
          <w:p>
            <w:pPr>
              <w:ind w:left="-20"/>
              <w:jc w:val="center"/>
              <w:rPr>
                <w:rFonts w:ascii="宋体" w:hAnsi="宋体"/>
                <w:szCs w:val="21"/>
              </w:rPr>
            </w:pPr>
            <w:r>
              <w:rPr>
                <w:rFonts w:hint="eastAsia" w:ascii="宋体" w:hAnsi="宋体"/>
                <w:szCs w:val="21"/>
              </w:rPr>
              <w:t>1</w:t>
            </w:r>
          </w:p>
        </w:tc>
        <w:tc>
          <w:tcPr>
            <w:tcW w:w="2028" w:type="dxa"/>
            <w:vAlign w:val="center"/>
          </w:tcPr>
          <w:p>
            <w:pPr>
              <w:jc w:val="center"/>
              <w:rPr>
                <w:rFonts w:ascii="宋体" w:hAnsi="宋体"/>
                <w:szCs w:val="21"/>
              </w:rPr>
            </w:pPr>
          </w:p>
        </w:tc>
        <w:tc>
          <w:tcPr>
            <w:tcW w:w="1196" w:type="dxa"/>
            <w:vAlign w:val="center"/>
          </w:tcPr>
          <w:p>
            <w:pPr>
              <w:jc w:val="center"/>
              <w:rPr>
                <w:rFonts w:ascii="宋体" w:hAnsi="宋体"/>
                <w:szCs w:val="21"/>
              </w:rPr>
            </w:pPr>
          </w:p>
        </w:tc>
        <w:tc>
          <w:tcPr>
            <w:tcW w:w="1491" w:type="dxa"/>
          </w:tcPr>
          <w:p>
            <w:pPr>
              <w:jc w:val="center"/>
              <w:rPr>
                <w:rFonts w:ascii="宋体" w:hAnsi="宋体"/>
                <w:szCs w:val="21"/>
              </w:rPr>
            </w:pPr>
          </w:p>
        </w:tc>
        <w:tc>
          <w:tcPr>
            <w:tcW w:w="1843" w:type="dxa"/>
            <w:vAlign w:val="center"/>
          </w:tcPr>
          <w:p>
            <w:pPr>
              <w:jc w:val="center"/>
              <w:rPr>
                <w:rFonts w:ascii="宋体" w:hAnsi="宋体"/>
                <w:szCs w:val="21"/>
              </w:rPr>
            </w:pPr>
          </w:p>
        </w:tc>
        <w:tc>
          <w:tcPr>
            <w:tcW w:w="155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52" w:type="dxa"/>
            <w:vAlign w:val="center"/>
          </w:tcPr>
          <w:p>
            <w:pPr>
              <w:ind w:left="-20"/>
              <w:jc w:val="center"/>
              <w:rPr>
                <w:rFonts w:ascii="宋体" w:hAnsi="宋体"/>
                <w:szCs w:val="21"/>
              </w:rPr>
            </w:pPr>
            <w:r>
              <w:rPr>
                <w:rFonts w:hint="eastAsia" w:ascii="宋体" w:hAnsi="宋体"/>
                <w:szCs w:val="21"/>
              </w:rPr>
              <w:t>2</w:t>
            </w:r>
          </w:p>
        </w:tc>
        <w:tc>
          <w:tcPr>
            <w:tcW w:w="2028" w:type="dxa"/>
            <w:vAlign w:val="center"/>
          </w:tcPr>
          <w:p>
            <w:pPr>
              <w:jc w:val="center"/>
              <w:rPr>
                <w:rFonts w:ascii="宋体" w:hAnsi="宋体"/>
                <w:szCs w:val="21"/>
              </w:rPr>
            </w:pPr>
          </w:p>
        </w:tc>
        <w:tc>
          <w:tcPr>
            <w:tcW w:w="1196" w:type="dxa"/>
            <w:vAlign w:val="center"/>
          </w:tcPr>
          <w:p>
            <w:pPr>
              <w:jc w:val="center"/>
              <w:rPr>
                <w:rFonts w:ascii="宋体" w:hAnsi="宋体"/>
                <w:szCs w:val="21"/>
              </w:rPr>
            </w:pPr>
          </w:p>
        </w:tc>
        <w:tc>
          <w:tcPr>
            <w:tcW w:w="1491" w:type="dxa"/>
          </w:tcPr>
          <w:p>
            <w:pPr>
              <w:jc w:val="center"/>
              <w:rPr>
                <w:rFonts w:ascii="宋体" w:hAnsi="宋体"/>
                <w:szCs w:val="21"/>
              </w:rPr>
            </w:pPr>
          </w:p>
        </w:tc>
        <w:tc>
          <w:tcPr>
            <w:tcW w:w="1843" w:type="dxa"/>
            <w:vAlign w:val="center"/>
          </w:tcPr>
          <w:p>
            <w:pPr>
              <w:jc w:val="center"/>
              <w:rPr>
                <w:rFonts w:ascii="宋体" w:hAnsi="宋体"/>
                <w:szCs w:val="21"/>
              </w:rPr>
            </w:pPr>
          </w:p>
        </w:tc>
        <w:tc>
          <w:tcPr>
            <w:tcW w:w="155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2" w:type="dxa"/>
            <w:vAlign w:val="center"/>
          </w:tcPr>
          <w:p>
            <w:pPr>
              <w:ind w:left="-20"/>
              <w:jc w:val="center"/>
              <w:rPr>
                <w:rFonts w:ascii="宋体" w:hAnsi="宋体"/>
                <w:szCs w:val="21"/>
              </w:rPr>
            </w:pPr>
            <w:r>
              <w:rPr>
                <w:rFonts w:hint="eastAsia" w:ascii="宋体" w:hAnsi="宋体"/>
                <w:szCs w:val="21"/>
              </w:rPr>
              <w:t>3</w:t>
            </w:r>
          </w:p>
        </w:tc>
        <w:tc>
          <w:tcPr>
            <w:tcW w:w="2028" w:type="dxa"/>
            <w:vAlign w:val="center"/>
          </w:tcPr>
          <w:p>
            <w:pPr>
              <w:ind w:left="-20"/>
              <w:jc w:val="center"/>
              <w:rPr>
                <w:rFonts w:ascii="宋体" w:hAnsi="宋体"/>
                <w:szCs w:val="21"/>
              </w:rPr>
            </w:pPr>
          </w:p>
        </w:tc>
        <w:tc>
          <w:tcPr>
            <w:tcW w:w="1196" w:type="dxa"/>
            <w:vAlign w:val="center"/>
          </w:tcPr>
          <w:p>
            <w:pPr>
              <w:ind w:left="-20"/>
              <w:jc w:val="center"/>
              <w:rPr>
                <w:rFonts w:ascii="宋体" w:hAnsi="宋体"/>
                <w:szCs w:val="21"/>
              </w:rPr>
            </w:pPr>
          </w:p>
        </w:tc>
        <w:tc>
          <w:tcPr>
            <w:tcW w:w="1491" w:type="dxa"/>
          </w:tcPr>
          <w:p>
            <w:pPr>
              <w:ind w:left="-20"/>
              <w:jc w:val="center"/>
              <w:rPr>
                <w:rFonts w:ascii="宋体" w:hAnsi="宋体"/>
                <w:szCs w:val="21"/>
              </w:rPr>
            </w:pPr>
          </w:p>
        </w:tc>
        <w:tc>
          <w:tcPr>
            <w:tcW w:w="1843" w:type="dxa"/>
            <w:vAlign w:val="center"/>
          </w:tcPr>
          <w:p>
            <w:pPr>
              <w:ind w:left="-20"/>
              <w:jc w:val="center"/>
              <w:rPr>
                <w:rFonts w:ascii="宋体" w:hAnsi="宋体"/>
                <w:szCs w:val="21"/>
              </w:rPr>
            </w:pPr>
          </w:p>
        </w:tc>
        <w:tc>
          <w:tcPr>
            <w:tcW w:w="1559" w:type="dxa"/>
            <w:vAlign w:val="center"/>
          </w:tcPr>
          <w:p>
            <w:pPr>
              <w:ind w:left="-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52" w:type="dxa"/>
            <w:vAlign w:val="center"/>
          </w:tcPr>
          <w:p>
            <w:pPr>
              <w:ind w:left="-20"/>
              <w:jc w:val="center"/>
              <w:rPr>
                <w:rFonts w:ascii="宋体" w:hAnsi="宋体"/>
                <w:szCs w:val="21"/>
              </w:rPr>
            </w:pPr>
            <w:r>
              <w:rPr>
                <w:rFonts w:hint="eastAsia" w:ascii="宋体" w:hAnsi="宋体"/>
                <w:szCs w:val="21"/>
              </w:rPr>
              <w:t>4</w:t>
            </w:r>
          </w:p>
        </w:tc>
        <w:tc>
          <w:tcPr>
            <w:tcW w:w="2028" w:type="dxa"/>
            <w:vAlign w:val="center"/>
          </w:tcPr>
          <w:p>
            <w:pPr>
              <w:ind w:left="-20"/>
              <w:jc w:val="center"/>
              <w:rPr>
                <w:rFonts w:ascii="宋体" w:hAnsi="宋体"/>
                <w:szCs w:val="21"/>
              </w:rPr>
            </w:pPr>
          </w:p>
        </w:tc>
        <w:tc>
          <w:tcPr>
            <w:tcW w:w="1196" w:type="dxa"/>
            <w:vAlign w:val="center"/>
          </w:tcPr>
          <w:p>
            <w:pPr>
              <w:ind w:left="-20"/>
              <w:jc w:val="center"/>
              <w:rPr>
                <w:rFonts w:ascii="宋体" w:hAnsi="宋体"/>
                <w:szCs w:val="21"/>
              </w:rPr>
            </w:pPr>
          </w:p>
        </w:tc>
        <w:tc>
          <w:tcPr>
            <w:tcW w:w="1491" w:type="dxa"/>
          </w:tcPr>
          <w:p>
            <w:pPr>
              <w:ind w:left="-20"/>
              <w:jc w:val="center"/>
              <w:rPr>
                <w:rFonts w:ascii="宋体" w:hAnsi="宋体"/>
                <w:szCs w:val="21"/>
              </w:rPr>
            </w:pPr>
          </w:p>
        </w:tc>
        <w:tc>
          <w:tcPr>
            <w:tcW w:w="1843" w:type="dxa"/>
            <w:vAlign w:val="center"/>
          </w:tcPr>
          <w:p>
            <w:pPr>
              <w:ind w:left="-20"/>
              <w:jc w:val="center"/>
              <w:rPr>
                <w:rFonts w:ascii="宋体" w:hAnsi="宋体"/>
                <w:szCs w:val="21"/>
              </w:rPr>
            </w:pPr>
          </w:p>
        </w:tc>
        <w:tc>
          <w:tcPr>
            <w:tcW w:w="1559" w:type="dxa"/>
            <w:vAlign w:val="center"/>
          </w:tcPr>
          <w:p>
            <w:pPr>
              <w:ind w:left="-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2" w:type="dxa"/>
            <w:vAlign w:val="center"/>
          </w:tcPr>
          <w:p>
            <w:pPr>
              <w:ind w:left="-20"/>
              <w:jc w:val="center"/>
              <w:rPr>
                <w:rFonts w:ascii="宋体" w:hAnsi="宋体"/>
                <w:szCs w:val="21"/>
              </w:rPr>
            </w:pPr>
            <w:r>
              <w:rPr>
                <w:rFonts w:hint="eastAsia" w:ascii="宋体" w:hAnsi="宋体"/>
                <w:szCs w:val="21"/>
              </w:rPr>
              <w:t>5</w:t>
            </w:r>
          </w:p>
        </w:tc>
        <w:tc>
          <w:tcPr>
            <w:tcW w:w="2028" w:type="dxa"/>
            <w:vAlign w:val="center"/>
          </w:tcPr>
          <w:p>
            <w:pPr>
              <w:ind w:left="-20"/>
              <w:jc w:val="center"/>
              <w:rPr>
                <w:rFonts w:ascii="宋体" w:hAnsi="宋体"/>
                <w:szCs w:val="21"/>
              </w:rPr>
            </w:pPr>
          </w:p>
        </w:tc>
        <w:tc>
          <w:tcPr>
            <w:tcW w:w="1196" w:type="dxa"/>
            <w:vAlign w:val="center"/>
          </w:tcPr>
          <w:p>
            <w:pPr>
              <w:ind w:left="-20"/>
              <w:jc w:val="center"/>
              <w:rPr>
                <w:rFonts w:ascii="宋体" w:hAnsi="宋体"/>
                <w:szCs w:val="21"/>
              </w:rPr>
            </w:pPr>
          </w:p>
        </w:tc>
        <w:tc>
          <w:tcPr>
            <w:tcW w:w="1491" w:type="dxa"/>
          </w:tcPr>
          <w:p>
            <w:pPr>
              <w:ind w:left="-20"/>
              <w:jc w:val="center"/>
              <w:rPr>
                <w:rFonts w:ascii="宋体" w:hAnsi="宋体"/>
                <w:szCs w:val="21"/>
              </w:rPr>
            </w:pPr>
          </w:p>
        </w:tc>
        <w:tc>
          <w:tcPr>
            <w:tcW w:w="1843" w:type="dxa"/>
            <w:vAlign w:val="center"/>
          </w:tcPr>
          <w:p>
            <w:pPr>
              <w:ind w:left="-20"/>
              <w:jc w:val="center"/>
              <w:rPr>
                <w:rFonts w:ascii="宋体" w:hAnsi="宋体"/>
                <w:szCs w:val="21"/>
              </w:rPr>
            </w:pPr>
          </w:p>
        </w:tc>
        <w:tc>
          <w:tcPr>
            <w:tcW w:w="1559" w:type="dxa"/>
            <w:vAlign w:val="center"/>
          </w:tcPr>
          <w:p>
            <w:pPr>
              <w:ind w:left="-20"/>
              <w:jc w:val="center"/>
              <w:rPr>
                <w:rFonts w:ascii="宋体" w:hAnsi="宋体"/>
                <w:szCs w:val="21"/>
              </w:rPr>
            </w:pPr>
          </w:p>
        </w:tc>
      </w:tr>
    </w:tbl>
    <w:p>
      <w:pPr>
        <w:rPr>
          <w:rFonts w:ascii="宋体" w:hAnsi="宋体"/>
          <w:szCs w:val="21"/>
          <w:u w:val="single"/>
        </w:rPr>
      </w:pPr>
      <w:r>
        <w:rPr>
          <w:rFonts w:ascii="宋体" w:hAnsi="宋体"/>
          <w:szCs w:val="21"/>
        </w:rPr>
        <w:t>投标单位全称（公章):</w:t>
      </w:r>
      <w:r>
        <w:rPr>
          <w:rFonts w:hint="eastAsia" w:ascii="宋体" w:hAnsi="宋体"/>
          <w:szCs w:val="21"/>
        </w:rPr>
        <w:t xml:space="preserve">                   法定代表人（授权代表）（签字或盖章）</w:t>
      </w:r>
      <w:r>
        <w:rPr>
          <w:rFonts w:ascii="宋体" w:hAnsi="宋体"/>
          <w:bCs/>
          <w:szCs w:val="21"/>
        </w:rPr>
        <w:t>：</w:t>
      </w:r>
    </w:p>
    <w:p>
      <w:pPr>
        <w:rPr>
          <w:rFonts w:ascii="宋体" w:hAnsi="宋体"/>
          <w:szCs w:val="21"/>
        </w:rPr>
      </w:pPr>
    </w:p>
    <w:p>
      <w:pPr>
        <w:rPr>
          <w:rFonts w:ascii="宋体" w:hAnsi="宋体"/>
          <w:szCs w:val="21"/>
        </w:rPr>
      </w:pPr>
      <w:r>
        <w:rPr>
          <w:rFonts w:hint="eastAsia" w:ascii="宋体" w:hAnsi="宋体"/>
          <w:szCs w:val="21"/>
        </w:rPr>
        <w:t>注：</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此表为表样，</w:t>
      </w:r>
      <w:r>
        <w:rPr>
          <w:rFonts w:hint="eastAsia" w:ascii="宋体" w:hAnsi="宋体"/>
          <w:szCs w:val="21"/>
        </w:rPr>
        <w:t>须填写完整，</w:t>
      </w:r>
      <w:r>
        <w:rPr>
          <w:rFonts w:ascii="宋体" w:hAnsi="宋体"/>
          <w:szCs w:val="21"/>
        </w:rPr>
        <w:t>行数可自行添加，但表式不变。</w:t>
      </w:r>
    </w:p>
    <w:p>
      <w:pPr>
        <w:ind w:firstLine="476" w:firstLineChars="227"/>
        <w:rPr>
          <w:rFonts w:ascii="宋体" w:hAnsi="宋体"/>
          <w:szCs w:val="21"/>
        </w:rPr>
      </w:pP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投标单位所提供的经营业绩必须列入上表中，未列入上表的不予计算。评委将依据每个经营业绩所附证明材料的有效性判断该业绩有效性。</w:t>
      </w:r>
    </w:p>
    <w:p>
      <w:pPr>
        <w:widowControl/>
        <w:rPr>
          <w:rFonts w:ascii="宋体" w:hAnsi="宋体"/>
          <w:szCs w:val="21"/>
        </w:rPr>
      </w:pPr>
    </w:p>
    <w:p>
      <w:pPr>
        <w:pStyle w:val="95"/>
        <w:jc w:val="center"/>
        <w:rPr>
          <w:rFonts w:ascii="宋体" w:hAnsi="宋体" w:eastAsia="宋体"/>
          <w:b/>
          <w:szCs w:val="28"/>
        </w:rPr>
      </w:pPr>
      <w:r>
        <w:rPr>
          <w:rFonts w:hint="eastAsia" w:ascii="宋体" w:hAnsi="宋体" w:eastAsia="宋体"/>
          <w:b/>
          <w:szCs w:val="28"/>
        </w:rPr>
        <w:t>8.其他资料</w:t>
      </w:r>
    </w:p>
    <w:p>
      <w:pPr>
        <w:spacing w:line="360" w:lineRule="auto"/>
        <w:outlineLvl w:val="0"/>
        <w:rPr>
          <w:rFonts w:hAnsi="宋体" w:cs="宋体"/>
          <w:b/>
          <w:sz w:val="24"/>
        </w:rPr>
      </w:pPr>
    </w:p>
    <w:p>
      <w:pPr>
        <w:pStyle w:val="3"/>
        <w:spacing w:line="240" w:lineRule="auto"/>
        <w:rPr>
          <w:rFonts w:ascii="宋体" w:hAnsi="宋体"/>
          <w:sz w:val="21"/>
          <w:szCs w:val="21"/>
        </w:rPr>
      </w:pPr>
      <w:bookmarkStart w:id="384" w:name="_Toc521019064"/>
      <w:bookmarkStart w:id="385" w:name="_Toc479456130"/>
      <w:bookmarkStart w:id="386" w:name="_Toc449539292"/>
    </w:p>
    <w:p>
      <w:pPr>
        <w:pStyle w:val="3"/>
        <w:spacing w:line="240" w:lineRule="auto"/>
        <w:rPr>
          <w:rFonts w:ascii="宋体" w:hAnsi="宋体"/>
          <w:sz w:val="21"/>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3"/>
        <w:spacing w:line="240" w:lineRule="auto"/>
        <w:jc w:val="center"/>
        <w:rPr>
          <w:sz w:val="28"/>
          <w:szCs w:val="28"/>
        </w:rPr>
      </w:pPr>
      <w:r>
        <w:rPr>
          <w:rFonts w:hint="eastAsia"/>
          <w:sz w:val="28"/>
          <w:szCs w:val="28"/>
        </w:rPr>
        <w:t>二、资格证明文件</w:t>
      </w:r>
      <w:bookmarkEnd w:id="384"/>
      <w:bookmarkEnd w:id="385"/>
      <w:bookmarkEnd w:id="386"/>
    </w:p>
    <w:tbl>
      <w:tblPr>
        <w:tblStyle w:val="38"/>
        <w:tblW w:w="8492"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521"/>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dxa"/>
            <w:vAlign w:val="center"/>
          </w:tcPr>
          <w:p>
            <w:pPr>
              <w:jc w:val="center"/>
              <w:rPr>
                <w:rFonts w:ascii="宋体" w:hAnsi="宋体"/>
                <w:szCs w:val="21"/>
              </w:rPr>
            </w:pPr>
            <w:r>
              <w:rPr>
                <w:rFonts w:hint="eastAsia" w:ascii="宋体" w:hAnsi="宋体"/>
                <w:szCs w:val="21"/>
              </w:rPr>
              <w:t>序号</w:t>
            </w:r>
          </w:p>
        </w:tc>
        <w:tc>
          <w:tcPr>
            <w:tcW w:w="6521" w:type="dxa"/>
            <w:vAlign w:val="center"/>
          </w:tcPr>
          <w:p>
            <w:pPr>
              <w:jc w:val="center"/>
              <w:rPr>
                <w:rFonts w:ascii="宋体" w:hAnsi="宋体"/>
                <w:szCs w:val="21"/>
              </w:rPr>
            </w:pPr>
            <w:r>
              <w:rPr>
                <w:rFonts w:hint="eastAsia" w:ascii="宋体" w:hAnsi="宋体"/>
                <w:szCs w:val="21"/>
              </w:rPr>
              <w:t>采购文件要求的资格证明文件</w:t>
            </w:r>
          </w:p>
        </w:tc>
        <w:tc>
          <w:tcPr>
            <w:tcW w:w="709" w:type="dxa"/>
            <w:vAlign w:val="center"/>
          </w:tcPr>
          <w:p>
            <w:pPr>
              <w:rPr>
                <w:rFonts w:ascii="宋体" w:hAnsi="宋体"/>
                <w:szCs w:val="21"/>
              </w:rPr>
            </w:pPr>
            <w:r>
              <w:rPr>
                <w:rFonts w:hint="eastAsia" w:ascii="宋体" w:hAnsi="宋体"/>
                <w:szCs w:val="21"/>
              </w:rPr>
              <w:t>对应页码</w:t>
            </w:r>
          </w:p>
        </w:tc>
        <w:tc>
          <w:tcPr>
            <w:tcW w:w="708" w:type="dxa"/>
            <w:vAlign w:val="center"/>
          </w:tcPr>
          <w:p>
            <w:pPr>
              <w:jc w:val="center"/>
              <w:rPr>
                <w:rFonts w:ascii="宋体" w:hAnsi="宋体"/>
                <w:szCs w:val="21"/>
              </w:rPr>
            </w:pPr>
            <w:r>
              <w:rPr>
                <w:rFonts w:hint="eastAsia" w:ascii="宋体" w:hAnsi="宋体"/>
                <w:szCs w:val="21"/>
              </w:rPr>
              <w:t>是否</w:t>
            </w:r>
          </w:p>
          <w:p>
            <w:pPr>
              <w:jc w:val="center"/>
              <w:rPr>
                <w:rFonts w:ascii="宋体" w:hAnsi="宋体"/>
                <w:szCs w:val="21"/>
              </w:rPr>
            </w:pPr>
            <w:r>
              <w:rPr>
                <w:rFonts w:hint="eastAsia" w:ascii="宋体" w:hAnsi="宋体"/>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54" w:type="dxa"/>
          </w:tcPr>
          <w:p>
            <w:pPr>
              <w:jc w:val="center"/>
              <w:rPr>
                <w:rFonts w:ascii="宋体" w:hAnsi="宋体"/>
                <w:szCs w:val="21"/>
              </w:rPr>
            </w:pPr>
            <w:r>
              <w:rPr>
                <w:rFonts w:hint="eastAsia" w:ascii="宋体" w:hAnsi="宋体"/>
                <w:szCs w:val="21"/>
              </w:rPr>
              <w:t>1</w:t>
            </w:r>
          </w:p>
        </w:tc>
        <w:tc>
          <w:tcPr>
            <w:tcW w:w="6521" w:type="dxa"/>
          </w:tcPr>
          <w:p>
            <w:pPr>
              <w:rPr>
                <w:rFonts w:ascii="宋体" w:hAnsi="宋体"/>
                <w:szCs w:val="21"/>
              </w:rPr>
            </w:pPr>
            <w:r>
              <w:rPr>
                <w:rFonts w:hint="eastAsia" w:ascii="宋体" w:hAnsi="宋体"/>
                <w:szCs w:val="21"/>
              </w:rPr>
              <w:t>（一）具有独立承担民事责任的能力，提供法人或者</w:t>
            </w:r>
            <w:r>
              <w:rPr>
                <w:rFonts w:ascii="宋体" w:hAnsi="宋体"/>
                <w:szCs w:val="21"/>
              </w:rPr>
              <w:t>其他组织的营业执照等证明文件；</w:t>
            </w:r>
          </w:p>
        </w:tc>
        <w:tc>
          <w:tcPr>
            <w:tcW w:w="709" w:type="dxa"/>
          </w:tcPr>
          <w:p>
            <w:pPr>
              <w:rPr>
                <w:rFonts w:ascii="宋体" w:hAnsi="宋体"/>
                <w:szCs w:val="21"/>
              </w:rPr>
            </w:pPr>
          </w:p>
        </w:tc>
        <w:tc>
          <w:tcPr>
            <w:tcW w:w="70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54" w:type="dxa"/>
          </w:tcPr>
          <w:p>
            <w:pPr>
              <w:jc w:val="center"/>
              <w:rPr>
                <w:rFonts w:ascii="宋体" w:hAnsi="宋体"/>
                <w:szCs w:val="21"/>
              </w:rPr>
            </w:pPr>
            <w:r>
              <w:rPr>
                <w:rFonts w:hint="eastAsia" w:ascii="宋体" w:hAnsi="宋体"/>
                <w:szCs w:val="21"/>
              </w:rPr>
              <w:t>2</w:t>
            </w:r>
          </w:p>
        </w:tc>
        <w:tc>
          <w:tcPr>
            <w:tcW w:w="6521" w:type="dxa"/>
          </w:tcPr>
          <w:p>
            <w:pPr>
              <w:tabs>
                <w:tab w:val="left" w:pos="142"/>
              </w:tabs>
              <w:jc w:val="left"/>
              <w:rPr>
                <w:rFonts w:ascii="宋体" w:hAnsi="宋体"/>
                <w:szCs w:val="21"/>
              </w:rPr>
            </w:pPr>
            <w:r>
              <w:rPr>
                <w:rFonts w:hint="eastAsia" w:ascii="宋体" w:hAnsi="宋体"/>
                <w:szCs w:val="21"/>
              </w:rPr>
              <w:t>（二）</w:t>
            </w:r>
            <w:r>
              <w:rPr>
                <w:rFonts w:hint="eastAsia"/>
              </w:rPr>
              <w:t>具有良好的商业信誉和健全的财务会计制度，</w:t>
            </w:r>
            <w:r>
              <w:rPr>
                <w:rFonts w:hint="eastAsia"/>
                <w:szCs w:val="21"/>
              </w:rPr>
              <w:t>提供</w:t>
            </w:r>
            <w:r>
              <w:rPr>
                <w:rFonts w:hint="eastAsia" w:ascii="宋体" w:hAnsi="宋体"/>
                <w:szCs w:val="21"/>
              </w:rPr>
              <w:t>开标前六个月内中任一月份的财务报表复印件,（至少包括资产负债表和利润表，法人或者其他组织成立未满三个月的可以不提供）；</w:t>
            </w:r>
          </w:p>
        </w:tc>
        <w:tc>
          <w:tcPr>
            <w:tcW w:w="709" w:type="dxa"/>
          </w:tcPr>
          <w:p>
            <w:pPr>
              <w:rPr>
                <w:rFonts w:ascii="宋体" w:hAnsi="宋体"/>
                <w:szCs w:val="21"/>
              </w:rPr>
            </w:pPr>
          </w:p>
        </w:tc>
        <w:tc>
          <w:tcPr>
            <w:tcW w:w="70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54" w:type="dxa"/>
            <w:vAlign w:val="center"/>
          </w:tcPr>
          <w:p>
            <w:pPr>
              <w:jc w:val="center"/>
              <w:rPr>
                <w:rFonts w:ascii="宋体" w:hAnsi="宋体"/>
                <w:szCs w:val="21"/>
              </w:rPr>
            </w:pPr>
            <w:r>
              <w:rPr>
                <w:rFonts w:hint="eastAsia" w:ascii="宋体" w:hAnsi="宋体"/>
                <w:szCs w:val="21"/>
              </w:rPr>
              <w:t>3</w:t>
            </w:r>
          </w:p>
        </w:tc>
        <w:tc>
          <w:tcPr>
            <w:tcW w:w="6521" w:type="dxa"/>
          </w:tcPr>
          <w:p>
            <w:pPr>
              <w:tabs>
                <w:tab w:val="left" w:pos="142"/>
              </w:tabs>
              <w:jc w:val="left"/>
              <w:rPr>
                <w:rFonts w:ascii="宋体" w:hAnsi="宋体"/>
                <w:szCs w:val="21"/>
              </w:rPr>
            </w:pPr>
            <w:r>
              <w:rPr>
                <w:rFonts w:hint="eastAsia" w:ascii="宋体" w:hAnsi="宋体"/>
                <w:szCs w:val="21"/>
              </w:rPr>
              <w:t>（三）</w:t>
            </w:r>
            <w:r>
              <w:rPr>
                <w:rFonts w:hint="eastAsia"/>
              </w:rPr>
              <w:t>有依法缴纳税收和社会保障资金的良好记录，提供</w:t>
            </w:r>
            <w:r>
              <w:rPr>
                <w:rFonts w:hint="eastAsia" w:ascii="宋体" w:hAnsi="宋体"/>
                <w:szCs w:val="21"/>
              </w:rPr>
              <w:t>开标前六个月内中任一月份的依法</w:t>
            </w:r>
            <w:r>
              <w:rPr>
                <w:rFonts w:hint="eastAsia" w:ascii="宋体" w:hAnsi="宋体"/>
                <w:b/>
                <w:szCs w:val="21"/>
              </w:rPr>
              <w:t>缴纳税收</w:t>
            </w:r>
            <w:r>
              <w:rPr>
                <w:rFonts w:hint="eastAsia" w:ascii="宋体" w:hAnsi="宋体"/>
                <w:szCs w:val="21"/>
              </w:rPr>
              <w:t>和</w:t>
            </w:r>
            <w:r>
              <w:rPr>
                <w:rFonts w:hint="eastAsia" w:ascii="宋体" w:hAnsi="宋体"/>
                <w:b/>
                <w:szCs w:val="21"/>
              </w:rPr>
              <w:t>社会保障资金</w:t>
            </w:r>
            <w:r>
              <w:rPr>
                <w:rFonts w:hint="eastAsia" w:ascii="宋体" w:hAnsi="宋体"/>
                <w:szCs w:val="21"/>
              </w:rPr>
              <w:t>的相关材料（提供相关主管部门证明或银行代扣证明的复印件，根据国家相关政策免缴或迟缴的需提供相关证明材料）</w:t>
            </w:r>
            <w:r>
              <w:rPr>
                <w:rFonts w:ascii="宋体" w:hAnsi="宋体"/>
                <w:szCs w:val="21"/>
              </w:rPr>
              <w:t>；</w:t>
            </w:r>
          </w:p>
        </w:tc>
        <w:tc>
          <w:tcPr>
            <w:tcW w:w="709" w:type="dxa"/>
          </w:tcPr>
          <w:p>
            <w:pPr>
              <w:tabs>
                <w:tab w:val="left" w:pos="142"/>
              </w:tabs>
              <w:ind w:firstLine="420" w:firstLineChars="200"/>
              <w:jc w:val="left"/>
              <w:rPr>
                <w:rFonts w:ascii="宋体" w:hAnsi="宋体"/>
                <w:szCs w:val="21"/>
              </w:rPr>
            </w:pPr>
          </w:p>
        </w:tc>
        <w:tc>
          <w:tcPr>
            <w:tcW w:w="70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54" w:type="dxa"/>
            <w:vAlign w:val="center"/>
          </w:tcPr>
          <w:p>
            <w:pPr>
              <w:jc w:val="center"/>
              <w:rPr>
                <w:rFonts w:ascii="宋体" w:hAnsi="宋体"/>
                <w:szCs w:val="21"/>
              </w:rPr>
            </w:pPr>
            <w:r>
              <w:rPr>
                <w:rFonts w:hint="eastAsia" w:ascii="宋体" w:hAnsi="宋体"/>
                <w:szCs w:val="21"/>
              </w:rPr>
              <w:t>4</w:t>
            </w:r>
          </w:p>
        </w:tc>
        <w:tc>
          <w:tcPr>
            <w:tcW w:w="6521" w:type="dxa"/>
          </w:tcPr>
          <w:p>
            <w:pPr>
              <w:tabs>
                <w:tab w:val="left" w:pos="142"/>
              </w:tabs>
              <w:jc w:val="left"/>
            </w:pPr>
            <w:r>
              <w:rPr>
                <w:rFonts w:hint="eastAsia" w:ascii="宋体" w:hAnsi="宋体"/>
                <w:szCs w:val="21"/>
              </w:rPr>
              <w:t>（四）具备履行合同所必</w:t>
            </w:r>
            <w:r>
              <w:rPr>
                <w:rFonts w:hint="eastAsia"/>
              </w:rPr>
              <w:t>需的设备和专业技术能力，投标供应商须提供书面承诺（</w:t>
            </w:r>
            <w:r>
              <w:rPr>
                <w:rFonts w:hint="eastAsia" w:ascii="宋体" w:hAnsi="宋体"/>
                <w:szCs w:val="21"/>
              </w:rPr>
              <w:t>格式见相关附表格式</w:t>
            </w:r>
            <w:r>
              <w:rPr>
                <w:rFonts w:hint="eastAsia"/>
              </w:rPr>
              <w:t>）</w:t>
            </w:r>
          </w:p>
        </w:tc>
        <w:tc>
          <w:tcPr>
            <w:tcW w:w="709" w:type="dxa"/>
          </w:tcPr>
          <w:p>
            <w:pPr>
              <w:tabs>
                <w:tab w:val="left" w:pos="142"/>
              </w:tabs>
              <w:ind w:firstLine="420" w:firstLineChars="200"/>
              <w:jc w:val="left"/>
              <w:rPr>
                <w:rFonts w:ascii="宋体" w:hAnsi="宋体"/>
                <w:szCs w:val="21"/>
              </w:rPr>
            </w:pPr>
          </w:p>
        </w:tc>
        <w:tc>
          <w:tcPr>
            <w:tcW w:w="70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54" w:type="dxa"/>
          </w:tcPr>
          <w:p>
            <w:pPr>
              <w:jc w:val="center"/>
              <w:rPr>
                <w:rFonts w:ascii="宋体" w:hAnsi="宋体"/>
                <w:szCs w:val="21"/>
              </w:rPr>
            </w:pPr>
            <w:r>
              <w:rPr>
                <w:rFonts w:hint="eastAsia" w:ascii="宋体" w:hAnsi="宋体"/>
                <w:szCs w:val="21"/>
              </w:rPr>
              <w:t>5</w:t>
            </w:r>
          </w:p>
        </w:tc>
        <w:tc>
          <w:tcPr>
            <w:tcW w:w="6521" w:type="dxa"/>
            <w:vAlign w:val="center"/>
          </w:tcPr>
          <w:p>
            <w:pPr>
              <w:rPr>
                <w:rFonts w:ascii="宋体" w:hAnsi="宋体"/>
                <w:szCs w:val="21"/>
              </w:rPr>
            </w:pPr>
            <w:r>
              <w:rPr>
                <w:rFonts w:hint="eastAsia" w:ascii="宋体" w:hAnsi="宋体"/>
                <w:szCs w:val="21"/>
              </w:rPr>
              <w:t>（五）参加政府采购活动前3年内在经营活动中没有重大违法记录的书面声明（格式见相关附表格式）</w:t>
            </w:r>
          </w:p>
        </w:tc>
        <w:tc>
          <w:tcPr>
            <w:tcW w:w="709" w:type="dxa"/>
          </w:tcPr>
          <w:p>
            <w:pPr>
              <w:rPr>
                <w:rFonts w:ascii="宋体" w:hAnsi="宋体"/>
                <w:szCs w:val="21"/>
              </w:rPr>
            </w:pPr>
          </w:p>
        </w:tc>
        <w:tc>
          <w:tcPr>
            <w:tcW w:w="708" w:type="dxa"/>
          </w:tcPr>
          <w:p>
            <w:pPr>
              <w:rPr>
                <w:rFonts w:ascii="宋体" w:hAnsi="宋体"/>
                <w:szCs w:val="21"/>
              </w:rPr>
            </w:pPr>
          </w:p>
        </w:tc>
      </w:tr>
    </w:tbl>
    <w:p>
      <w:pPr>
        <w:ind w:firstLine="422" w:firstLineChars="200"/>
        <w:rPr>
          <w:rFonts w:ascii="宋体" w:hAnsi="宋体" w:cs="新宋体"/>
          <w:b/>
          <w:bCs/>
          <w:szCs w:val="21"/>
        </w:rPr>
      </w:pPr>
      <w:r>
        <w:rPr>
          <w:rFonts w:hint="eastAsia" w:ascii="黑体" w:eastAsia="黑体"/>
          <w:b/>
          <w:szCs w:val="21"/>
        </w:rPr>
        <w:t>说明：上述所列资格证明文件为必须提供内容，未提供或未提供有效材料的，将不能通过符合性审查。</w:t>
      </w:r>
    </w:p>
    <w:p>
      <w:pPr>
        <w:pStyle w:val="95"/>
        <w:spacing w:before="0" w:line="240" w:lineRule="auto"/>
      </w:pPr>
      <w:bookmarkStart w:id="387" w:name="_Toc144974860"/>
      <w:bookmarkStart w:id="388" w:name="_Toc152045791"/>
      <w:bookmarkStart w:id="389" w:name="_Toc152042580"/>
      <w:bookmarkStart w:id="390" w:name="_Toc227984079"/>
      <w:bookmarkStart w:id="391" w:name="_Toc499830122"/>
      <w:bookmarkStart w:id="392" w:name="_Toc499821581"/>
    </w:p>
    <w:p>
      <w:pPr>
        <w:pStyle w:val="95"/>
        <w:spacing w:before="0" w:line="240" w:lineRule="auto"/>
      </w:pPr>
    </w:p>
    <w:p>
      <w:pPr>
        <w:pStyle w:val="95"/>
        <w:spacing w:before="0" w:line="240" w:lineRule="auto"/>
      </w:pPr>
    </w:p>
    <w:bookmarkEnd w:id="387"/>
    <w:bookmarkEnd w:id="388"/>
    <w:bookmarkEnd w:id="389"/>
    <w:bookmarkEnd w:id="390"/>
    <w:bookmarkEnd w:id="391"/>
    <w:bookmarkEnd w:id="392"/>
    <w:p>
      <w:pPr>
        <w:spacing w:line="440" w:lineRule="exact"/>
        <w:rPr>
          <w:sz w:val="20"/>
        </w:rPr>
      </w:pPr>
      <w:r>
        <w:rPr>
          <w:rFonts w:ascii="Arial" w:hAnsi="Arial" w:cs="Arial"/>
          <w:sz w:val="24"/>
          <w:szCs w:val="24"/>
        </w:rPr>
        <w:br w:type="page"/>
      </w:r>
    </w:p>
    <w:p>
      <w:pPr>
        <w:pStyle w:val="95"/>
        <w:spacing w:before="0" w:line="240" w:lineRule="auto"/>
        <w:jc w:val="center"/>
      </w:pPr>
      <w:r>
        <w:rPr>
          <w:rFonts w:hint="eastAsia"/>
        </w:rPr>
        <w:t>三</w:t>
      </w:r>
      <w:r>
        <w:t>、</w:t>
      </w:r>
      <w:r>
        <w:rPr>
          <w:rFonts w:hint="eastAsia"/>
        </w:rPr>
        <w:t>相关附表格式</w:t>
      </w:r>
    </w:p>
    <w:p>
      <w:pPr>
        <w:pStyle w:val="95"/>
        <w:jc w:val="center"/>
      </w:pPr>
      <w:r>
        <w:rPr>
          <w:rFonts w:hint="eastAsia"/>
        </w:rPr>
        <w:t>1.法人资格证明</w:t>
      </w:r>
    </w:p>
    <w:p>
      <w:pPr>
        <w:pStyle w:val="21"/>
        <w:spacing w:line="400" w:lineRule="exact"/>
        <w:ind w:left="450" w:hanging="450"/>
        <w:jc w:val="center"/>
        <w:rPr>
          <w:rFonts w:hAnsi="宋体" w:cs="宋体"/>
          <w:sz w:val="24"/>
          <w:szCs w:val="24"/>
        </w:rPr>
      </w:pPr>
      <w:r>
        <w:rPr>
          <w:rFonts w:hAnsi="宋体" w:cs="宋体"/>
          <w:sz w:val="24"/>
          <w:szCs w:val="24"/>
        </w:rPr>
        <w:t>（</w:t>
      </w:r>
      <w:r>
        <w:rPr>
          <w:rFonts w:hint="eastAsia" w:hAnsi="宋体" w:cs="宋体"/>
          <w:sz w:val="24"/>
          <w:szCs w:val="24"/>
        </w:rPr>
        <w:t>营业执照、税务登记证、组织机构代码证（三证合一只提供营业执照）</w:t>
      </w:r>
      <w:r>
        <w:rPr>
          <w:rFonts w:hAnsi="宋体" w:cs="宋体"/>
          <w:sz w:val="24"/>
          <w:szCs w:val="24"/>
        </w:rPr>
        <w:t>）</w:t>
      </w:r>
    </w:p>
    <w:p>
      <w:pPr>
        <w:pStyle w:val="21"/>
        <w:spacing w:line="400" w:lineRule="exact"/>
        <w:ind w:left="1710" w:hanging="450"/>
        <w:jc w:val="center"/>
      </w:pPr>
      <w:r>
        <w:rPr>
          <w:rFonts w:hAnsi="宋体" w:cs="宋体"/>
          <w:sz w:val="24"/>
          <w:szCs w:val="24"/>
        </w:rPr>
        <w:t>（复印件</w:t>
      </w:r>
      <w:r>
        <w:rPr>
          <w:rFonts w:hint="eastAsia" w:hAnsi="宋体" w:cs="宋体"/>
          <w:sz w:val="24"/>
          <w:szCs w:val="24"/>
        </w:rPr>
        <w:t>加盖公章</w:t>
      </w:r>
      <w:r>
        <w:rPr>
          <w:rFonts w:hAnsi="宋体" w:cs="宋体"/>
          <w:sz w:val="24"/>
          <w:szCs w:val="24"/>
        </w:rPr>
        <w:t>）</w:t>
      </w:r>
    </w:p>
    <w:p>
      <w:pPr>
        <w:pStyle w:val="95"/>
        <w:jc w:val="center"/>
      </w:pPr>
    </w:p>
    <w:p>
      <w:pPr>
        <w:pStyle w:val="95"/>
        <w:jc w:val="center"/>
      </w:pPr>
    </w:p>
    <w:p>
      <w:pPr>
        <w:pStyle w:val="95"/>
        <w:jc w:val="center"/>
        <w:rPr>
          <w:rFonts w:ascii="Arial" w:hAnsi="Arial" w:cs="Arial"/>
          <w:sz w:val="24"/>
          <w:szCs w:val="24"/>
        </w:rPr>
      </w:pPr>
      <w:r>
        <w:rPr>
          <w:rFonts w:hint="eastAsia"/>
        </w:rPr>
        <w:t>2.</w:t>
      </w:r>
      <w:r>
        <w:t>法定代表人身份证明</w:t>
      </w:r>
      <w:r>
        <w:rPr>
          <w:rFonts w:hint="eastAsia"/>
        </w:rPr>
        <w:t>和授权委托书</w:t>
      </w:r>
    </w:p>
    <w:p>
      <w:pPr>
        <w:pStyle w:val="21"/>
        <w:spacing w:line="400" w:lineRule="exact"/>
        <w:jc w:val="center"/>
        <w:rPr>
          <w:rFonts w:hAnsi="宋体" w:cs="Arial"/>
          <w:sz w:val="24"/>
          <w:szCs w:val="24"/>
        </w:rPr>
      </w:pPr>
      <w:r>
        <w:rPr>
          <w:rFonts w:hAnsi="宋体" w:cs="Arial"/>
          <w:sz w:val="24"/>
          <w:szCs w:val="24"/>
        </w:rPr>
        <w:t>（原件）</w:t>
      </w:r>
    </w:p>
    <w:p>
      <w:pPr>
        <w:pStyle w:val="21"/>
        <w:spacing w:line="400" w:lineRule="exact"/>
        <w:jc w:val="left"/>
        <w:rPr>
          <w:rFonts w:hAnsi="宋体" w:cs="Arial"/>
          <w:sz w:val="24"/>
          <w:szCs w:val="24"/>
        </w:rPr>
      </w:pPr>
    </w:p>
    <w:p>
      <w:pPr>
        <w:pStyle w:val="21"/>
        <w:spacing w:line="360" w:lineRule="auto"/>
        <w:ind w:firstLine="480" w:firstLineChars="200"/>
        <w:jc w:val="left"/>
        <w:rPr>
          <w:rFonts w:hAnsi="宋体" w:cs="Arial"/>
          <w:sz w:val="24"/>
          <w:szCs w:val="24"/>
        </w:rPr>
      </w:pPr>
      <w:r>
        <w:rPr>
          <w:rFonts w:hAnsi="宋体" w:cs="Arial"/>
          <w:sz w:val="24"/>
          <w:szCs w:val="24"/>
        </w:rPr>
        <w:t>本授权委托书声明：本人</w:t>
      </w:r>
      <w:r>
        <w:rPr>
          <w:rFonts w:hAnsi="宋体" w:cs="Arial"/>
          <w:i/>
          <w:iCs/>
          <w:sz w:val="24"/>
          <w:szCs w:val="24"/>
          <w:u w:val="single"/>
        </w:rPr>
        <w:t>（姓名）</w:t>
      </w:r>
      <w:r>
        <w:rPr>
          <w:rFonts w:hAnsi="宋体" w:cs="Arial"/>
          <w:sz w:val="24"/>
          <w:szCs w:val="24"/>
        </w:rPr>
        <w:t>系</w:t>
      </w:r>
      <w:r>
        <w:rPr>
          <w:rFonts w:hAnsi="宋体" w:cs="Arial"/>
          <w:i/>
          <w:iCs/>
          <w:sz w:val="24"/>
          <w:szCs w:val="24"/>
          <w:u w:val="single"/>
        </w:rPr>
        <w:t>（单位全称）</w:t>
      </w:r>
      <w:r>
        <w:rPr>
          <w:rFonts w:hAnsi="宋体" w:cs="Arial"/>
          <w:i/>
          <w:iCs/>
          <w:sz w:val="24"/>
          <w:szCs w:val="24"/>
          <w:u w:val="single"/>
        </w:rPr>
        <w:tab/>
      </w:r>
      <w:r>
        <w:rPr>
          <w:rFonts w:hAnsi="宋体" w:cs="Arial"/>
          <w:i/>
          <w:iCs/>
          <w:sz w:val="24"/>
          <w:szCs w:val="24"/>
          <w:u w:val="single"/>
        </w:rPr>
        <w:tab/>
      </w:r>
      <w:r>
        <w:rPr>
          <w:rFonts w:hAnsi="宋体" w:cs="Arial"/>
          <w:i/>
          <w:iCs/>
          <w:sz w:val="24"/>
          <w:szCs w:val="24"/>
          <w:u w:val="single"/>
        </w:rPr>
        <w:tab/>
      </w:r>
      <w:r>
        <w:rPr>
          <w:rFonts w:hAnsi="宋体" w:cs="Arial"/>
          <w:i/>
          <w:iCs/>
          <w:sz w:val="24"/>
          <w:szCs w:val="24"/>
          <w:u w:val="single"/>
        </w:rPr>
        <w:tab/>
      </w:r>
      <w:r>
        <w:rPr>
          <w:rFonts w:hAnsi="宋体" w:cs="Arial"/>
          <w:i/>
          <w:iCs/>
          <w:sz w:val="24"/>
          <w:szCs w:val="24"/>
          <w:u w:val="single"/>
        </w:rPr>
        <w:tab/>
      </w:r>
      <w:r>
        <w:rPr>
          <w:rFonts w:hAnsi="宋体" w:cs="Arial"/>
          <w:i/>
          <w:iCs/>
          <w:sz w:val="24"/>
          <w:szCs w:val="24"/>
          <w:u w:val="single"/>
        </w:rPr>
        <w:tab/>
      </w:r>
      <w:r>
        <w:rPr>
          <w:rFonts w:hAnsi="宋体" w:cs="Arial"/>
          <w:sz w:val="24"/>
          <w:szCs w:val="24"/>
        </w:rPr>
        <w:t>的法定代表人，现代表本公司授权我单位</w:t>
      </w:r>
      <w:r>
        <w:rPr>
          <w:rFonts w:hAnsi="宋体" w:cs="Arial"/>
          <w:i/>
          <w:iCs/>
          <w:sz w:val="24"/>
          <w:szCs w:val="24"/>
          <w:u w:val="single"/>
        </w:rPr>
        <w:t>（部门、职务、姓名）</w:t>
      </w:r>
      <w:r>
        <w:rPr>
          <w:rFonts w:hAnsi="宋体" w:cs="Arial"/>
          <w:sz w:val="24"/>
          <w:szCs w:val="24"/>
        </w:rPr>
        <w:t>作为本公司的合法代理人，以</w:t>
      </w:r>
      <w:r>
        <w:rPr>
          <w:rFonts w:hAnsi="宋体" w:cs="Arial"/>
          <w:i/>
          <w:iCs/>
          <w:sz w:val="24"/>
          <w:szCs w:val="24"/>
          <w:u w:val="single"/>
        </w:rPr>
        <w:t>（单位名称）</w:t>
      </w:r>
      <w:r>
        <w:rPr>
          <w:rFonts w:hAnsi="宋体" w:cs="Arial"/>
          <w:sz w:val="24"/>
          <w:szCs w:val="24"/>
        </w:rPr>
        <w:t>的名义参加</w:t>
      </w:r>
      <w:r>
        <w:rPr>
          <w:rFonts w:hAnsi="宋体" w:cs="Arial"/>
          <w:i/>
          <w:iCs/>
          <w:sz w:val="24"/>
          <w:szCs w:val="24"/>
          <w:u w:val="single"/>
        </w:rPr>
        <w:t>（</w:t>
      </w:r>
      <w:r>
        <w:rPr>
          <w:rFonts w:hint="eastAsia" w:hAnsi="宋体" w:cs="Arial"/>
          <w:i/>
          <w:iCs/>
          <w:sz w:val="24"/>
          <w:szCs w:val="24"/>
          <w:u w:val="single"/>
        </w:rPr>
        <w:t>采购</w:t>
      </w:r>
      <w:r>
        <w:rPr>
          <w:rFonts w:hAnsi="宋体" w:cs="Arial"/>
          <w:i/>
          <w:iCs/>
          <w:sz w:val="24"/>
          <w:szCs w:val="24"/>
          <w:u w:val="single"/>
        </w:rPr>
        <w:t>单位名称）</w:t>
      </w:r>
      <w:r>
        <w:rPr>
          <w:rFonts w:hAnsi="宋体" w:cs="Arial"/>
          <w:sz w:val="24"/>
          <w:szCs w:val="24"/>
        </w:rPr>
        <w:t>的</w:t>
      </w:r>
      <w:r>
        <w:rPr>
          <w:rFonts w:hAnsi="宋体" w:cs="Arial"/>
          <w:i/>
          <w:iCs/>
          <w:sz w:val="24"/>
          <w:szCs w:val="24"/>
          <w:u w:val="single"/>
        </w:rPr>
        <w:t>（项目名称）</w:t>
      </w:r>
      <w:r>
        <w:rPr>
          <w:rFonts w:hint="eastAsia" w:hAnsi="宋体" w:cs="Arial"/>
          <w:sz w:val="24"/>
          <w:szCs w:val="24"/>
        </w:rPr>
        <w:t>询价</w:t>
      </w:r>
      <w:r>
        <w:rPr>
          <w:rFonts w:hAnsi="宋体" w:cs="Arial"/>
          <w:sz w:val="24"/>
          <w:szCs w:val="24"/>
        </w:rPr>
        <w:t>。授权代表签署与本次</w:t>
      </w:r>
      <w:r>
        <w:rPr>
          <w:rFonts w:hint="eastAsia" w:hAnsi="宋体" w:cs="Arial"/>
          <w:sz w:val="24"/>
          <w:szCs w:val="24"/>
        </w:rPr>
        <w:t>询价</w:t>
      </w:r>
      <w:r>
        <w:rPr>
          <w:rFonts w:hAnsi="宋体" w:cs="Arial"/>
          <w:sz w:val="24"/>
          <w:szCs w:val="24"/>
        </w:rPr>
        <w:t>相关的一切文件和处理与之有关的一切事务，本人均予以承认。</w:t>
      </w:r>
    </w:p>
    <w:p>
      <w:pPr>
        <w:pStyle w:val="21"/>
        <w:spacing w:line="360" w:lineRule="auto"/>
        <w:ind w:firstLine="480" w:firstLineChars="200"/>
        <w:jc w:val="left"/>
        <w:rPr>
          <w:rFonts w:hAnsi="宋体" w:cs="Arial"/>
          <w:sz w:val="24"/>
          <w:szCs w:val="24"/>
        </w:rPr>
      </w:pPr>
      <w:r>
        <w:rPr>
          <w:rFonts w:hAnsi="宋体" w:cs="Arial"/>
          <w:sz w:val="24"/>
          <w:szCs w:val="24"/>
        </w:rPr>
        <w:t>授权委托人无转委托权。</w:t>
      </w:r>
    </w:p>
    <w:p>
      <w:pPr>
        <w:pStyle w:val="21"/>
        <w:spacing w:line="360" w:lineRule="auto"/>
        <w:ind w:firstLine="480" w:firstLineChars="200"/>
        <w:jc w:val="left"/>
        <w:rPr>
          <w:rFonts w:hAnsi="宋体" w:cs="Arial"/>
          <w:sz w:val="24"/>
          <w:szCs w:val="24"/>
        </w:rPr>
      </w:pPr>
      <w:r>
        <w:rPr>
          <w:rFonts w:hAnsi="宋体" w:cs="Arial"/>
          <w:sz w:val="24"/>
          <w:szCs w:val="24"/>
        </w:rPr>
        <w:t>本授权书于</w:t>
      </w:r>
      <w:r>
        <w:rPr>
          <w:rFonts w:hint="eastAsia" w:hAnsi="宋体" w:cs="Arial"/>
          <w:sz w:val="24"/>
          <w:szCs w:val="24"/>
        </w:rPr>
        <w:t xml:space="preserve">    </w:t>
      </w:r>
      <w:r>
        <w:rPr>
          <w:rFonts w:hAnsi="宋体" w:cs="Arial"/>
          <w:sz w:val="24"/>
          <w:szCs w:val="24"/>
        </w:rPr>
        <w:t>年</w:t>
      </w:r>
      <w:r>
        <w:rPr>
          <w:rFonts w:hint="eastAsia" w:hAnsi="宋体" w:cs="Arial"/>
          <w:sz w:val="24"/>
          <w:szCs w:val="24"/>
        </w:rPr>
        <w:t xml:space="preserve">  </w:t>
      </w:r>
      <w:r>
        <w:rPr>
          <w:rFonts w:hAnsi="宋体" w:cs="Arial"/>
          <w:sz w:val="24"/>
          <w:szCs w:val="24"/>
        </w:rPr>
        <w:t>月</w:t>
      </w:r>
      <w:r>
        <w:rPr>
          <w:rFonts w:hint="eastAsia" w:hAnsi="宋体" w:cs="Arial"/>
          <w:sz w:val="24"/>
          <w:szCs w:val="24"/>
        </w:rPr>
        <w:t xml:space="preserve">  </w:t>
      </w:r>
      <w:r>
        <w:rPr>
          <w:rFonts w:hAnsi="宋体" w:cs="Arial"/>
          <w:sz w:val="24"/>
          <w:szCs w:val="24"/>
        </w:rPr>
        <w:t>日签字或盖章后生效，特此声明。</w:t>
      </w:r>
    </w:p>
    <w:p>
      <w:pPr>
        <w:pStyle w:val="21"/>
        <w:spacing w:line="400" w:lineRule="exact"/>
        <w:jc w:val="left"/>
        <w:rPr>
          <w:rFonts w:hAnsi="宋体" w:cs="Arial"/>
          <w:sz w:val="24"/>
          <w:szCs w:val="24"/>
        </w:rPr>
      </w:pPr>
    </w:p>
    <w:p>
      <w:pPr>
        <w:pStyle w:val="21"/>
        <w:spacing w:line="400" w:lineRule="exact"/>
        <w:ind w:firstLine="420"/>
        <w:jc w:val="left"/>
        <w:rPr>
          <w:rFonts w:hAnsi="宋体" w:cs="Arial"/>
          <w:sz w:val="24"/>
          <w:szCs w:val="24"/>
        </w:rPr>
      </w:pPr>
    </w:p>
    <w:p>
      <w:pPr>
        <w:pStyle w:val="21"/>
        <w:spacing w:line="400" w:lineRule="exact"/>
        <w:jc w:val="left"/>
        <w:rPr>
          <w:rFonts w:hAnsi="宋体" w:cs="Arial"/>
          <w:sz w:val="24"/>
          <w:szCs w:val="24"/>
        </w:rPr>
      </w:pPr>
    </w:p>
    <w:p>
      <w:pPr>
        <w:pStyle w:val="21"/>
        <w:spacing w:line="400" w:lineRule="exact"/>
        <w:ind w:firstLine="480" w:firstLineChars="200"/>
        <w:jc w:val="left"/>
        <w:rPr>
          <w:rFonts w:hAnsi="宋体" w:cs="Arial"/>
          <w:sz w:val="24"/>
          <w:szCs w:val="24"/>
        </w:rPr>
      </w:pPr>
      <w:r>
        <w:rPr>
          <w:rFonts w:hAnsi="宋体" w:cs="Arial"/>
          <w:sz w:val="24"/>
          <w:szCs w:val="24"/>
        </w:rPr>
        <w:t xml:space="preserve">                    </w:t>
      </w:r>
      <w:r>
        <w:rPr>
          <w:rFonts w:hint="eastAsia" w:hAnsi="宋体" w:cs="Arial"/>
          <w:sz w:val="24"/>
          <w:szCs w:val="24"/>
        </w:rPr>
        <w:t xml:space="preserve">        </w:t>
      </w:r>
      <w:r>
        <w:rPr>
          <w:rFonts w:hAnsi="宋体" w:cs="Arial"/>
          <w:sz w:val="24"/>
          <w:szCs w:val="24"/>
        </w:rPr>
        <w:t xml:space="preserve">  授权委托人（签字）：</w:t>
      </w:r>
    </w:p>
    <w:p>
      <w:pPr>
        <w:pStyle w:val="21"/>
        <w:spacing w:line="400" w:lineRule="exact"/>
        <w:ind w:firstLine="4080" w:firstLineChars="1700"/>
        <w:jc w:val="left"/>
        <w:rPr>
          <w:rFonts w:hAnsi="宋体" w:cs="Arial"/>
          <w:sz w:val="24"/>
          <w:szCs w:val="24"/>
          <w:u w:val="single"/>
        </w:rPr>
      </w:pPr>
      <w:r>
        <w:rPr>
          <w:rFonts w:hAnsi="宋体" w:cs="Arial"/>
          <w:sz w:val="24"/>
          <w:szCs w:val="24"/>
        </w:rPr>
        <w:t xml:space="preserve">性别： </w:t>
      </w:r>
      <w:r>
        <w:rPr>
          <w:rFonts w:hint="eastAsia" w:hAnsi="宋体" w:cs="Arial"/>
          <w:sz w:val="24"/>
          <w:szCs w:val="24"/>
        </w:rPr>
        <w:t xml:space="preserve">                </w:t>
      </w:r>
      <w:r>
        <w:rPr>
          <w:rFonts w:hAnsi="宋体" w:cs="Arial"/>
          <w:sz w:val="24"/>
          <w:szCs w:val="24"/>
        </w:rPr>
        <w:t>年龄：</w:t>
      </w:r>
    </w:p>
    <w:p>
      <w:pPr>
        <w:pStyle w:val="21"/>
        <w:spacing w:line="400" w:lineRule="exact"/>
        <w:jc w:val="left"/>
        <w:rPr>
          <w:rFonts w:hAnsi="宋体" w:cs="Arial"/>
          <w:sz w:val="24"/>
          <w:szCs w:val="24"/>
        </w:rPr>
      </w:pPr>
      <w:r>
        <w:rPr>
          <w:rFonts w:hAnsi="宋体" w:cs="Arial"/>
          <w:sz w:val="24"/>
          <w:szCs w:val="24"/>
        </w:rPr>
        <w:t xml:space="preserve">                                  部门： </w:t>
      </w:r>
      <w:r>
        <w:rPr>
          <w:rFonts w:hint="eastAsia" w:hAnsi="宋体" w:cs="Arial"/>
          <w:sz w:val="24"/>
          <w:szCs w:val="24"/>
        </w:rPr>
        <w:t xml:space="preserve">                </w:t>
      </w:r>
      <w:r>
        <w:rPr>
          <w:rFonts w:hAnsi="宋体" w:cs="Arial"/>
          <w:sz w:val="24"/>
          <w:szCs w:val="24"/>
        </w:rPr>
        <w:t>职务：</w:t>
      </w:r>
    </w:p>
    <w:p>
      <w:pPr>
        <w:pStyle w:val="21"/>
        <w:spacing w:line="400" w:lineRule="exact"/>
        <w:ind w:firstLine="720" w:firstLineChars="300"/>
        <w:jc w:val="left"/>
        <w:rPr>
          <w:rFonts w:hAnsi="宋体" w:cs="Arial"/>
          <w:sz w:val="24"/>
          <w:szCs w:val="24"/>
        </w:rPr>
      </w:pPr>
    </w:p>
    <w:p>
      <w:pPr>
        <w:pStyle w:val="21"/>
        <w:spacing w:line="400" w:lineRule="exact"/>
        <w:ind w:firstLine="4080" w:firstLineChars="1700"/>
        <w:jc w:val="left"/>
        <w:rPr>
          <w:rFonts w:hAnsi="宋体" w:cs="Arial"/>
          <w:sz w:val="24"/>
          <w:szCs w:val="24"/>
          <w:u w:val="single"/>
        </w:rPr>
      </w:pPr>
      <w:r>
        <w:rPr>
          <w:rFonts w:hint="eastAsia" w:hAnsi="宋体" w:cs="Arial"/>
          <w:sz w:val="24"/>
          <w:szCs w:val="24"/>
        </w:rPr>
        <w:t>供应商</w:t>
      </w:r>
      <w:r>
        <w:rPr>
          <w:rFonts w:hAnsi="宋体" w:cs="Arial"/>
          <w:sz w:val="24"/>
          <w:szCs w:val="24"/>
        </w:rPr>
        <w:t>（公章）：</w:t>
      </w:r>
    </w:p>
    <w:p>
      <w:pPr>
        <w:pStyle w:val="21"/>
        <w:spacing w:line="400" w:lineRule="exact"/>
        <w:jc w:val="left"/>
        <w:rPr>
          <w:rFonts w:hAnsi="宋体" w:cs="Arial"/>
          <w:sz w:val="24"/>
          <w:szCs w:val="24"/>
        </w:rPr>
      </w:pPr>
    </w:p>
    <w:p>
      <w:pPr>
        <w:pStyle w:val="21"/>
        <w:spacing w:line="400" w:lineRule="exact"/>
        <w:jc w:val="left"/>
        <w:rPr>
          <w:rFonts w:hAnsi="宋体" w:cs="Arial"/>
          <w:sz w:val="24"/>
          <w:szCs w:val="24"/>
          <w:u w:val="single"/>
        </w:rPr>
      </w:pPr>
      <w:r>
        <w:rPr>
          <w:rFonts w:hAnsi="宋体" w:cs="Arial"/>
          <w:sz w:val="24"/>
          <w:szCs w:val="24"/>
        </w:rPr>
        <w:t xml:space="preserve">                       </w:t>
      </w:r>
      <w:r>
        <w:rPr>
          <w:rFonts w:hint="eastAsia" w:hAnsi="宋体" w:cs="Arial"/>
          <w:sz w:val="24"/>
          <w:szCs w:val="24"/>
        </w:rPr>
        <w:t xml:space="preserve">        </w:t>
      </w:r>
      <w:r>
        <w:rPr>
          <w:rFonts w:hAnsi="宋体" w:cs="Arial"/>
          <w:sz w:val="24"/>
          <w:szCs w:val="24"/>
        </w:rPr>
        <w:t xml:space="preserve">   法定代表人（签字）：</w:t>
      </w:r>
    </w:p>
    <w:p>
      <w:pPr>
        <w:pStyle w:val="21"/>
        <w:spacing w:line="400" w:lineRule="exact"/>
        <w:jc w:val="left"/>
        <w:rPr>
          <w:rFonts w:hAnsi="宋体" w:cs="Arial"/>
          <w:sz w:val="24"/>
          <w:szCs w:val="24"/>
        </w:rPr>
      </w:pPr>
    </w:p>
    <w:p>
      <w:pPr>
        <w:pStyle w:val="21"/>
        <w:spacing w:line="400" w:lineRule="exact"/>
        <w:ind w:left="1260"/>
        <w:jc w:val="left"/>
        <w:rPr>
          <w:rFonts w:hAnsi="宋体" w:cs="Arial"/>
          <w:sz w:val="24"/>
          <w:szCs w:val="24"/>
          <w:u w:val="single"/>
        </w:rPr>
      </w:pPr>
      <w:r>
        <w:rPr>
          <w:rFonts w:hAnsi="宋体" w:cs="Arial"/>
          <w:sz w:val="24"/>
          <w:szCs w:val="24"/>
        </w:rPr>
        <w:t xml:space="preserve">                      日    期：</w:t>
      </w:r>
      <w:r>
        <w:rPr>
          <w:rFonts w:hint="eastAsia" w:hAnsi="宋体" w:cs="Arial"/>
          <w:sz w:val="24"/>
          <w:szCs w:val="24"/>
        </w:rPr>
        <w:t xml:space="preserve">    </w:t>
      </w:r>
      <w:r>
        <w:rPr>
          <w:rFonts w:hAnsi="宋体" w:cs="Arial"/>
          <w:sz w:val="24"/>
          <w:szCs w:val="24"/>
        </w:rPr>
        <w:t>年</w:t>
      </w:r>
      <w:r>
        <w:rPr>
          <w:rFonts w:hint="eastAsia" w:hAnsi="宋体" w:cs="Arial"/>
          <w:sz w:val="24"/>
          <w:szCs w:val="24"/>
        </w:rPr>
        <w:t xml:space="preserve">  </w:t>
      </w:r>
      <w:r>
        <w:rPr>
          <w:rFonts w:hAnsi="宋体" w:cs="Arial"/>
          <w:sz w:val="24"/>
          <w:szCs w:val="24"/>
        </w:rPr>
        <w:t>月</w:t>
      </w:r>
      <w:r>
        <w:rPr>
          <w:rFonts w:hint="eastAsia" w:hAnsi="宋体" w:cs="Arial"/>
          <w:sz w:val="24"/>
          <w:szCs w:val="24"/>
        </w:rPr>
        <w:t xml:space="preserve">  </w:t>
      </w:r>
      <w:r>
        <w:rPr>
          <w:rFonts w:hAnsi="宋体" w:cs="Arial"/>
          <w:sz w:val="24"/>
          <w:szCs w:val="24"/>
        </w:rPr>
        <w:t>日</w:t>
      </w:r>
    </w:p>
    <w:p>
      <w:pPr>
        <w:autoSpaceDE w:val="0"/>
        <w:autoSpaceDN w:val="0"/>
        <w:spacing w:line="500" w:lineRule="exact"/>
        <w:ind w:right="-5"/>
        <w:textAlignment w:val="bottom"/>
        <w:rPr>
          <w:rFonts w:ascii="宋体" w:hAnsi="宋体" w:cs="Arial"/>
          <w:b/>
          <w:sz w:val="24"/>
          <w:szCs w:val="24"/>
        </w:rPr>
      </w:pPr>
    </w:p>
    <w:p>
      <w:pPr>
        <w:rPr>
          <w:rFonts w:ascii="宋体" w:hAnsi="宋体" w:cs="宋体"/>
          <w:sz w:val="24"/>
          <w:szCs w:val="24"/>
        </w:rPr>
      </w:pPr>
      <w:r>
        <w:rPr>
          <w:rFonts w:hint="eastAsia" w:ascii="宋体" w:hAnsi="宋体" w:cs="宋体"/>
          <w:sz w:val="24"/>
          <w:szCs w:val="24"/>
        </w:rPr>
        <w:t>提供法人代表及授权代表身份证复印件。</w:t>
      </w:r>
    </w:p>
    <w:p>
      <w:pPr>
        <w:jc w:val="center"/>
        <w:rPr>
          <w:rFonts w:ascii="宋体" w:hAnsi="宋体" w:cs="宋体"/>
          <w:szCs w:val="24"/>
        </w:rPr>
      </w:pPr>
      <w:r>
        <w:rPr>
          <w:rFonts w:ascii="宋体" w:hAnsi="宋体" w:cs="宋体"/>
          <w:sz w:val="24"/>
          <w:szCs w:val="24"/>
        </w:rPr>
        <w:br w:type="page"/>
      </w:r>
    </w:p>
    <w:p>
      <w:pPr>
        <w:spacing w:line="360" w:lineRule="auto"/>
        <w:jc w:val="center"/>
        <w:rPr>
          <w:rFonts w:eastAsia="黑体"/>
          <w:sz w:val="28"/>
        </w:rPr>
      </w:pPr>
      <w:r>
        <w:rPr>
          <w:rFonts w:hint="eastAsia" w:eastAsia="黑体"/>
          <w:sz w:val="28"/>
        </w:rPr>
        <w:t>3.书面承诺</w:t>
      </w:r>
    </w:p>
    <w:p>
      <w:pPr>
        <w:spacing w:line="360" w:lineRule="auto"/>
        <w:ind w:firstLine="480" w:firstLineChars="200"/>
        <w:rPr>
          <w:rFonts w:ascii="宋体" w:hAnsi="宋体"/>
          <w:sz w:val="24"/>
          <w:szCs w:val="24"/>
        </w:rPr>
      </w:pPr>
      <w:r>
        <w:rPr>
          <w:rFonts w:hint="eastAsia" w:ascii="宋体" w:hAnsi="宋体"/>
          <w:sz w:val="24"/>
          <w:szCs w:val="24"/>
        </w:rPr>
        <w:t>具有履行合同所必需的设备和专业技术能力（请提供具备履行合同所必需的设备和专业技术能力的证明材料）</w:t>
      </w:r>
    </w:p>
    <w:p>
      <w:pPr>
        <w:spacing w:line="300" w:lineRule="auto"/>
        <w:rPr>
          <w:rFonts w:ascii="宋体" w:hAnsi="宋体" w:cs="宋体"/>
          <w:szCs w:val="24"/>
        </w:rPr>
      </w:pPr>
    </w:p>
    <w:p>
      <w:pPr>
        <w:ind w:firstLine="3360" w:firstLineChars="1600"/>
        <w:rPr>
          <w:rFonts w:ascii="宋体" w:hAnsi="宋体" w:cs="新宋体"/>
          <w:szCs w:val="21"/>
        </w:rPr>
      </w:pPr>
      <w:r>
        <w:rPr>
          <w:rFonts w:hint="eastAsia" w:ascii="宋体" w:hAnsi="宋体" w:cs="新宋体"/>
          <w:szCs w:val="21"/>
        </w:rPr>
        <w:t>投标供应商全称（公章）：</w:t>
      </w:r>
    </w:p>
    <w:p>
      <w:pPr>
        <w:rPr>
          <w:rFonts w:ascii="宋体" w:hAnsi="宋体" w:cs="新宋体"/>
          <w:szCs w:val="21"/>
        </w:rPr>
      </w:pPr>
      <w:r>
        <w:rPr>
          <w:rFonts w:hint="eastAsia" w:ascii="宋体" w:hAnsi="宋体" w:cs="新宋体"/>
          <w:szCs w:val="21"/>
        </w:rPr>
        <w:t xml:space="preserve">                                法定代表人（授权代表）</w:t>
      </w:r>
      <w:r>
        <w:rPr>
          <w:rFonts w:hint="eastAsia" w:ascii="宋体" w:hAnsi="宋体"/>
          <w:szCs w:val="21"/>
        </w:rPr>
        <w:t>（签字或盖章）</w:t>
      </w:r>
      <w:r>
        <w:rPr>
          <w:rFonts w:hint="eastAsia" w:ascii="宋体" w:hAnsi="宋体" w:cs="新宋体"/>
          <w:szCs w:val="21"/>
        </w:rPr>
        <w:t>：</w:t>
      </w:r>
    </w:p>
    <w:p>
      <w:pPr>
        <w:rPr>
          <w:rFonts w:ascii="宋体" w:hAnsi="宋体" w:cs="新宋体"/>
          <w:szCs w:val="21"/>
        </w:rPr>
      </w:pPr>
      <w:r>
        <w:rPr>
          <w:rFonts w:hint="eastAsia" w:ascii="宋体" w:hAnsi="宋体" w:cs="新宋体"/>
          <w:szCs w:val="21"/>
        </w:rPr>
        <w:t xml:space="preserve">                                日期：</w:t>
      </w:r>
    </w:p>
    <w:p>
      <w:pPr>
        <w:spacing w:line="300" w:lineRule="auto"/>
        <w:rPr>
          <w:rFonts w:ascii="宋体" w:hAnsi="宋体" w:cs="宋体"/>
          <w:szCs w:val="24"/>
        </w:rPr>
      </w:pPr>
    </w:p>
    <w:p>
      <w:pPr>
        <w:spacing w:line="300" w:lineRule="auto"/>
        <w:rPr>
          <w:rFonts w:ascii="宋体" w:hAnsi="宋体" w:cs="宋体"/>
          <w:szCs w:val="24"/>
        </w:rPr>
      </w:pPr>
    </w:p>
    <w:p>
      <w:pPr>
        <w:spacing w:line="300" w:lineRule="auto"/>
        <w:jc w:val="center"/>
        <w:rPr>
          <w:rFonts w:ascii="宋体" w:hAnsi="宋体" w:cs="宋体"/>
          <w:szCs w:val="24"/>
        </w:rPr>
      </w:pPr>
    </w:p>
    <w:p>
      <w:pPr>
        <w:spacing w:line="360" w:lineRule="auto"/>
        <w:jc w:val="center"/>
        <w:rPr>
          <w:rFonts w:eastAsia="黑体"/>
          <w:sz w:val="28"/>
        </w:rPr>
      </w:pPr>
      <w:r>
        <w:rPr>
          <w:rFonts w:hint="eastAsia" w:eastAsia="黑体"/>
          <w:sz w:val="28"/>
        </w:rPr>
        <w:t>4.声明</w:t>
      </w:r>
    </w:p>
    <w:p>
      <w:pPr>
        <w:spacing w:line="300" w:lineRule="auto"/>
        <w:rPr>
          <w:rFonts w:ascii="宋体" w:hAnsi="宋体" w:cs="宋体"/>
          <w:sz w:val="24"/>
          <w:szCs w:val="24"/>
        </w:rPr>
      </w:pPr>
    </w:p>
    <w:p>
      <w:pPr>
        <w:spacing w:line="300" w:lineRule="auto"/>
        <w:ind w:firstLine="480" w:firstLineChars="200"/>
        <w:rPr>
          <w:rFonts w:ascii="宋体" w:hAnsi="宋体" w:cs="宋体"/>
          <w:sz w:val="24"/>
          <w:szCs w:val="24"/>
        </w:rPr>
      </w:pPr>
      <w:r>
        <w:rPr>
          <w:rFonts w:hint="eastAsia" w:ascii="宋体" w:hAnsi="宋体" w:cs="宋体"/>
          <w:sz w:val="24"/>
          <w:szCs w:val="24"/>
        </w:rPr>
        <w:t>本公司承诺在参加政府采购的近三年内，在经营活动中没有重大违法记录。</w:t>
      </w:r>
    </w:p>
    <w:p>
      <w:pPr>
        <w:spacing w:line="300" w:lineRule="auto"/>
        <w:rPr>
          <w:rFonts w:ascii="宋体" w:hAnsi="宋体" w:cs="宋体"/>
          <w:sz w:val="24"/>
          <w:szCs w:val="24"/>
        </w:rPr>
      </w:pPr>
      <w:r>
        <w:rPr>
          <w:rFonts w:hint="eastAsia" w:ascii="宋体" w:hAnsi="宋体" w:cs="宋体"/>
          <w:sz w:val="24"/>
          <w:szCs w:val="24"/>
        </w:rPr>
        <w:t>不存在下列行为之一：</w:t>
      </w:r>
    </w:p>
    <w:p>
      <w:pPr>
        <w:spacing w:line="300" w:lineRule="auto"/>
        <w:ind w:firstLine="240" w:firstLineChars="1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）有违反法律、法规行为，依法被取消投标资格且期限未满的；</w:t>
      </w:r>
    </w:p>
    <w:p>
      <w:pPr>
        <w:spacing w:line="300" w:lineRule="auto"/>
        <w:ind w:firstLine="240" w:firstLineChars="10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）因招投标活动中有违法违规和不良行为，被有关招投标行政监督部门公示且公示期限未满的。</w:t>
      </w:r>
    </w:p>
    <w:p>
      <w:pPr>
        <w:spacing w:line="300" w:lineRule="auto"/>
        <w:ind w:right="1920" w:firstLine="5040" w:firstLineChars="2100"/>
        <w:rPr>
          <w:rFonts w:ascii="宋体" w:hAnsi="宋体" w:cs="宋体"/>
          <w:sz w:val="24"/>
          <w:szCs w:val="24"/>
        </w:rPr>
      </w:pPr>
    </w:p>
    <w:p>
      <w:pPr>
        <w:spacing w:line="300" w:lineRule="auto"/>
        <w:ind w:right="1920" w:firstLine="5040" w:firstLineChars="2100"/>
        <w:rPr>
          <w:rFonts w:ascii="宋体" w:hAnsi="宋体" w:cs="宋体"/>
          <w:sz w:val="24"/>
          <w:szCs w:val="24"/>
        </w:rPr>
      </w:pPr>
    </w:p>
    <w:p>
      <w:pPr>
        <w:spacing w:line="300" w:lineRule="auto"/>
        <w:ind w:right="1920" w:firstLine="5040" w:firstLineChars="2100"/>
        <w:rPr>
          <w:rFonts w:ascii="宋体" w:hAnsi="宋体" w:cs="宋体"/>
          <w:sz w:val="24"/>
          <w:szCs w:val="24"/>
        </w:rPr>
      </w:pPr>
    </w:p>
    <w:p>
      <w:pPr>
        <w:ind w:firstLine="3360" w:firstLineChars="1600"/>
        <w:rPr>
          <w:rFonts w:ascii="宋体" w:hAnsi="宋体" w:cs="新宋体"/>
          <w:szCs w:val="21"/>
        </w:rPr>
      </w:pPr>
      <w:r>
        <w:rPr>
          <w:rFonts w:hint="eastAsia" w:ascii="宋体" w:hAnsi="宋体" w:cs="新宋体"/>
          <w:szCs w:val="21"/>
        </w:rPr>
        <w:t>投标供应商全称（公章）：</w:t>
      </w:r>
    </w:p>
    <w:p>
      <w:pPr>
        <w:rPr>
          <w:rFonts w:ascii="宋体" w:hAnsi="宋体" w:cs="新宋体"/>
          <w:szCs w:val="21"/>
        </w:rPr>
      </w:pPr>
      <w:r>
        <w:rPr>
          <w:rFonts w:hint="eastAsia" w:ascii="宋体" w:hAnsi="宋体" w:cs="新宋体"/>
          <w:szCs w:val="21"/>
        </w:rPr>
        <w:t xml:space="preserve">                                法定代表人（授权代表）</w:t>
      </w:r>
      <w:r>
        <w:rPr>
          <w:rFonts w:hint="eastAsia" w:ascii="宋体" w:hAnsi="宋体"/>
          <w:szCs w:val="21"/>
        </w:rPr>
        <w:t>（签字或盖章）</w:t>
      </w:r>
      <w:r>
        <w:rPr>
          <w:rFonts w:hint="eastAsia" w:ascii="宋体" w:hAnsi="宋体" w:cs="新宋体"/>
          <w:szCs w:val="21"/>
        </w:rPr>
        <w:t>：</w:t>
      </w:r>
    </w:p>
    <w:p>
      <w:pPr>
        <w:rPr>
          <w:rFonts w:ascii="宋体" w:hAnsi="宋体" w:cs="新宋体"/>
          <w:szCs w:val="21"/>
        </w:rPr>
      </w:pPr>
      <w:r>
        <w:rPr>
          <w:rFonts w:hint="eastAsia" w:ascii="宋体" w:hAnsi="宋体" w:cs="新宋体"/>
          <w:szCs w:val="21"/>
        </w:rPr>
        <w:t xml:space="preserve">                                日期：</w:t>
      </w:r>
    </w:p>
    <w:p>
      <w:pPr>
        <w:rPr>
          <w:rFonts w:ascii="宋体" w:hAnsi="宋体" w:cs="宋体"/>
          <w:b/>
          <w:sz w:val="24"/>
          <w:szCs w:val="24"/>
        </w:rPr>
      </w:pPr>
    </w:p>
    <w:p>
      <w:pPr>
        <w:rPr>
          <w:rFonts w:ascii="宋体" w:hAnsi="宋体" w:cs="宋体"/>
          <w:b/>
          <w:sz w:val="24"/>
          <w:szCs w:val="24"/>
        </w:rPr>
      </w:pPr>
    </w:p>
    <w:p>
      <w:pPr>
        <w:spacing w:line="440" w:lineRule="exact"/>
      </w:pPr>
    </w:p>
    <w:p>
      <w:pPr>
        <w:spacing w:line="360" w:lineRule="auto"/>
        <w:jc w:val="center"/>
        <w:rPr>
          <w:rFonts w:eastAsia="黑体"/>
          <w:sz w:val="28"/>
        </w:rPr>
      </w:pPr>
      <w:bookmarkStart w:id="393" w:name="_Toc31201"/>
    </w:p>
    <w:p>
      <w:pPr>
        <w:spacing w:line="360" w:lineRule="auto"/>
        <w:jc w:val="center"/>
        <w:rPr>
          <w:rFonts w:eastAsia="黑体"/>
          <w:sz w:val="28"/>
        </w:rPr>
      </w:pPr>
    </w:p>
    <w:p>
      <w:pPr>
        <w:spacing w:line="360" w:lineRule="auto"/>
        <w:jc w:val="center"/>
        <w:rPr>
          <w:rFonts w:eastAsia="黑体"/>
          <w:sz w:val="28"/>
        </w:rPr>
      </w:pPr>
    </w:p>
    <w:p>
      <w:pPr>
        <w:spacing w:line="360" w:lineRule="auto"/>
        <w:jc w:val="center"/>
        <w:rPr>
          <w:rFonts w:eastAsia="黑体"/>
          <w:sz w:val="28"/>
        </w:rPr>
      </w:pPr>
    </w:p>
    <w:p>
      <w:pPr>
        <w:spacing w:line="360" w:lineRule="auto"/>
        <w:jc w:val="center"/>
        <w:rPr>
          <w:rFonts w:eastAsia="黑体"/>
          <w:sz w:val="28"/>
        </w:rPr>
      </w:pPr>
    </w:p>
    <w:p>
      <w:pPr>
        <w:spacing w:line="360" w:lineRule="auto"/>
        <w:jc w:val="center"/>
        <w:rPr>
          <w:rFonts w:eastAsia="黑体"/>
          <w:sz w:val="28"/>
        </w:rPr>
      </w:pPr>
      <w:r>
        <w:rPr>
          <w:rFonts w:hint="eastAsia" w:eastAsia="黑体"/>
          <w:sz w:val="28"/>
        </w:rPr>
        <w:t>5.中小企业声明函</w:t>
      </w:r>
      <w:bookmarkEnd w:id="393"/>
    </w:p>
    <w:p/>
    <w:p>
      <w:pPr>
        <w:jc w:val="center"/>
        <w:rPr>
          <w:b/>
        </w:rPr>
      </w:pPr>
      <w:r>
        <w:rPr>
          <w:b/>
        </w:rPr>
        <w:t>中小企业声明函</w:t>
      </w:r>
    </w:p>
    <w:p>
      <w:pPr>
        <w:ind w:firstLine="420" w:firstLineChars="200"/>
      </w:pPr>
      <w:r>
        <w:t>本公司郑重声明，根据《政府采购促进中小 企业发展管理办法》（财库﹝2020﹞46 号）的规定，本公司参加</w:t>
      </w:r>
      <w:r>
        <w:rPr>
          <w:rFonts w:hint="eastAsia"/>
          <w:u w:val="single"/>
        </w:rPr>
        <w:t>南京特殊教育师范学院燕子矶校区树木修剪服务项目</w:t>
      </w:r>
      <w:r>
        <w:rPr>
          <w:rFonts w:hint="eastAsia" w:ascii="宋体" w:hAnsi="宋体" w:cs="微软雅黑"/>
          <w:szCs w:val="21"/>
          <w:u w:val="single"/>
        </w:rPr>
        <w:t>（采购编号为：      ）</w:t>
      </w:r>
      <w:r>
        <w:t>采购活动，提供的货物全部由符合政策要求的中小企业制造。相关企业（含联合体中的中小企业、签订分包意向协议的中小企业）的具体情况如下：</w:t>
      </w:r>
    </w:p>
    <w:p>
      <w:pPr>
        <w:ind w:firstLine="420" w:firstLineChars="200"/>
      </w:pPr>
      <w:r>
        <w:t xml:space="preserve"> 1. </w:t>
      </w:r>
      <w:r>
        <w:rPr>
          <w:rFonts w:hint="eastAsia"/>
          <w:u w:val="single"/>
        </w:rPr>
        <w:t xml:space="preserve">      </w:t>
      </w:r>
      <w:r>
        <w:rPr>
          <w:u w:val="single"/>
        </w:rPr>
        <w:t xml:space="preserve">（标的名称） </w:t>
      </w:r>
      <w:r>
        <w:t>，属于</w:t>
      </w:r>
      <w:r>
        <w:rPr>
          <w:rFonts w:hint="eastAsia"/>
          <w:u w:val="single"/>
        </w:rPr>
        <w:t xml:space="preserve">       </w:t>
      </w:r>
      <w:r>
        <w:rPr>
          <w:u w:val="single"/>
        </w:rPr>
        <w:t>（采购文件中明确的所属行业）</w:t>
      </w:r>
      <w:r>
        <w:t xml:space="preserve"> 行业；制造商为</w:t>
      </w:r>
      <w:r>
        <w:rPr>
          <w:u w:val="single"/>
        </w:rPr>
        <w:t>（企业名称）</w:t>
      </w:r>
      <w:r>
        <w:t>，从业人员</w:t>
      </w:r>
      <w:r>
        <w:rPr>
          <w:u w:val="single"/>
        </w:rPr>
        <w:t xml:space="preserve"> </w:t>
      </w:r>
      <w:r>
        <w:rPr>
          <w:rFonts w:hint="eastAsia"/>
          <w:u w:val="single"/>
        </w:rPr>
        <w:t xml:space="preserve">   </w:t>
      </w:r>
      <w:r>
        <w:t>人，营业收入为</w:t>
      </w:r>
      <w:r>
        <w:rPr>
          <w:rFonts w:hint="eastAsia"/>
          <w:u w:val="single"/>
        </w:rPr>
        <w:t xml:space="preserve">     </w:t>
      </w:r>
      <w:r>
        <w:t xml:space="preserve"> 万元，资产总额为</w:t>
      </w:r>
      <w:r>
        <w:rPr>
          <w:rFonts w:hint="eastAsia"/>
          <w:u w:val="single"/>
        </w:rPr>
        <w:t xml:space="preserve">     </w:t>
      </w:r>
      <w:r>
        <w:rPr>
          <w:u w:val="single"/>
        </w:rPr>
        <w:t xml:space="preserve"> </w:t>
      </w:r>
      <w:r>
        <w:t>万元，属于</w:t>
      </w:r>
      <w:r>
        <w:rPr>
          <w:u w:val="single"/>
        </w:rPr>
        <w:t>（中型企业、小 型企业、微型企业）</w:t>
      </w:r>
      <w:r>
        <w:t xml:space="preserve">； </w:t>
      </w:r>
    </w:p>
    <w:p>
      <w:pPr>
        <w:ind w:firstLine="525" w:firstLineChars="250"/>
      </w:pPr>
      <w:r>
        <w:rPr>
          <w:rFonts w:hint="eastAsia"/>
        </w:rPr>
        <w:t>……</w:t>
      </w:r>
      <w:r>
        <w:t xml:space="preserve"> </w:t>
      </w:r>
    </w:p>
    <w:p>
      <w:pPr>
        <w:ind w:firstLine="525" w:firstLineChars="250"/>
      </w:pPr>
      <w:r>
        <w:t xml:space="preserve">以上企业，不属于大企业的分支机构，不存在控股股东为大企业的情形，也不存在与大企业的负责人为同一人的情形。 </w:t>
      </w:r>
    </w:p>
    <w:p>
      <w:pPr>
        <w:ind w:firstLine="525" w:firstLineChars="250"/>
      </w:pPr>
      <w:r>
        <w:t>本企业对上述声明内容的真实性负责。如有虚假，将依法承担相应责任。</w:t>
      </w:r>
    </w:p>
    <w:p>
      <w:pPr>
        <w:ind w:firstLine="525" w:firstLineChars="250"/>
      </w:pPr>
    </w:p>
    <w:p>
      <w:pPr>
        <w:ind w:firstLine="4410" w:firstLineChars="2100"/>
      </w:pPr>
      <w:r>
        <w:t xml:space="preserve">企业名称（盖章）： </w:t>
      </w:r>
    </w:p>
    <w:p>
      <w:pPr>
        <w:ind w:firstLine="4410" w:firstLineChars="2100"/>
      </w:pPr>
      <w:r>
        <w:t xml:space="preserve">日 期： </w:t>
      </w:r>
    </w:p>
    <w:p/>
    <w:p/>
    <w:p>
      <w:pPr>
        <w:rPr>
          <w:rFonts w:ascii="宋体" w:hAnsi="宋体"/>
          <w:szCs w:val="21"/>
        </w:rPr>
      </w:pPr>
      <w:r>
        <w:rPr>
          <w:rFonts w:hint="eastAsia"/>
        </w:rPr>
        <w:t>注：</w:t>
      </w:r>
      <w:r>
        <w:t>从业人员、营业收入、资产总额填报上一年度数据，无上一年度数据的新成立企业可不填报。</w:t>
      </w:r>
    </w:p>
    <w:p/>
    <w:p/>
    <w:p/>
    <w:p/>
    <w:p/>
    <w:p>
      <w:pPr>
        <w:spacing w:line="360" w:lineRule="auto"/>
        <w:jc w:val="center"/>
        <w:rPr>
          <w:rFonts w:eastAsia="黑体"/>
          <w:sz w:val="28"/>
        </w:rPr>
      </w:pPr>
      <w:bookmarkStart w:id="394" w:name="_Toc1047"/>
      <w:r>
        <w:rPr>
          <w:rFonts w:hint="eastAsia" w:eastAsia="黑体"/>
          <w:sz w:val="28"/>
        </w:rPr>
        <w:t>6.残疾人福利性单位声明函</w:t>
      </w:r>
      <w:bookmarkEnd w:id="394"/>
    </w:p>
    <w:p>
      <w:pPr>
        <w:pStyle w:val="17"/>
        <w:spacing w:line="420" w:lineRule="exact"/>
        <w:ind w:left="1470" w:right="1470"/>
        <w:jc w:val="center"/>
        <w:rPr>
          <w:rFonts w:ascii="宋体" w:hAnsi="宋体" w:eastAsia="宋体" w:cs="宋体"/>
          <w:sz w:val="24"/>
          <w:szCs w:val="24"/>
        </w:rPr>
      </w:pPr>
      <w:r>
        <w:rPr>
          <w:rFonts w:hint="eastAsia" w:ascii="宋体" w:hAnsi="宋体" w:eastAsia="宋体" w:cs="宋体"/>
          <w:bCs/>
          <w:sz w:val="24"/>
          <w:szCs w:val="24"/>
        </w:rPr>
        <w:t>残疾人福利性单位声明函</w:t>
      </w:r>
    </w:p>
    <w:p>
      <w:pPr>
        <w:pStyle w:val="34"/>
        <w:spacing w:before="106" w:beforeAutospacing="0" w:after="106" w:afterAutospacing="0" w:line="30" w:lineRule="atLeast"/>
        <w:ind w:firstLine="420"/>
        <w:jc w:val="both"/>
      </w:pPr>
      <w:r>
        <w:rPr>
          <w:rFonts w:hint="eastAsia" w:cs="微软雅黑"/>
        </w:rPr>
        <w:t>本单位郑重声明，根据《财政部民政部中国残疾人联合会关于促进残疾人就业政府采购政策的通知》（财库〔2017〕141号）的规定，本单位为符合条件的残疾人福利性单位，且本单位参加＿＿＿＿＿ 单位的＿＿＿＿＿＿项目采购活动提供本单位制造的货物（由本单位承担工程/提供服务），或者提供其他残疾人福利性单位制造的货物（不包括使用非残疾人福利性单位注册商标的货物）。</w:t>
      </w:r>
    </w:p>
    <w:p>
      <w:pPr>
        <w:pStyle w:val="34"/>
        <w:spacing w:before="106" w:beforeAutospacing="0" w:after="106" w:afterAutospacing="0" w:line="30" w:lineRule="atLeast"/>
        <w:ind w:firstLine="420"/>
        <w:jc w:val="both"/>
      </w:pPr>
      <w:r>
        <w:rPr>
          <w:rFonts w:hint="eastAsia" w:cs="微软雅黑"/>
        </w:rPr>
        <w:t>本单位对上述声明的真实性负责。如有虚假，将依法承担相应责任。</w:t>
      </w:r>
    </w:p>
    <w:p>
      <w:pPr>
        <w:jc w:val="right"/>
        <w:rPr>
          <w:rFonts w:ascii="宋体" w:hAnsi="宋体"/>
          <w:sz w:val="24"/>
          <w:szCs w:val="24"/>
        </w:rPr>
      </w:pPr>
      <w:r>
        <w:rPr>
          <w:rFonts w:hint="eastAsia" w:ascii="宋体" w:hAnsi="宋体" w:cs="微软雅黑"/>
          <w:sz w:val="24"/>
          <w:szCs w:val="24"/>
        </w:rPr>
        <w:t>                                                             </w:t>
      </w:r>
      <w:r>
        <w:rPr>
          <w:rFonts w:hint="eastAsia" w:ascii="宋体" w:hAnsi="宋体"/>
          <w:sz w:val="24"/>
          <w:szCs w:val="24"/>
        </w:rPr>
        <w:t>企业名称(盖章)：</w:t>
      </w:r>
    </w:p>
    <w:p>
      <w:pPr>
        <w:jc w:val="right"/>
        <w:rPr>
          <w:rFonts w:ascii="宋体" w:hAnsi="宋体"/>
          <w:sz w:val="24"/>
          <w:szCs w:val="24"/>
        </w:rPr>
      </w:pPr>
      <w:r>
        <w:rPr>
          <w:rFonts w:hint="eastAsia" w:ascii="宋体" w:hAnsi="宋体"/>
          <w:sz w:val="24"/>
          <w:szCs w:val="24"/>
        </w:rPr>
        <w:t>日  期：</w:t>
      </w:r>
    </w:p>
    <w:p>
      <w:pPr>
        <w:spacing w:line="440" w:lineRule="exact"/>
      </w:pPr>
      <w:r>
        <w:rPr>
          <w:rFonts w:hint="eastAsia" w:cs="微软雅黑"/>
        </w:rPr>
        <w:t>                                </w:t>
      </w:r>
    </w:p>
    <w:p>
      <w:pPr>
        <w:pStyle w:val="95"/>
        <w:keepNext w:val="0"/>
        <w:keepLines w:val="0"/>
        <w:rPr>
          <w:rFonts w:ascii="宋体" w:hAnsi="宋体" w:eastAsia="宋体"/>
          <w:sz w:val="24"/>
          <w:szCs w:val="24"/>
        </w:rPr>
      </w:pPr>
    </w:p>
    <w:p/>
    <w:sectPr>
      <w:footerReference r:id="rId4" w:type="default"/>
      <w:pgSz w:w="11906" w:h="16838"/>
      <w:pgMar w:top="1440" w:right="1800"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jc w:val="center"/>
    </w:pPr>
    <w:r>
      <w:fldChar w:fldCharType="begin"/>
    </w:r>
    <w:r>
      <w:instrText xml:space="preserve"> PAGE   \* MERGEFORMAT </w:instrText>
    </w:r>
    <w:r>
      <w:fldChar w:fldCharType="separate"/>
    </w:r>
    <w:r>
      <w:rPr>
        <w:lang w:val="zh-CN"/>
      </w:rPr>
      <w:t>7</w:t>
    </w:r>
    <w:r>
      <w:fldChar w:fldCharType="end"/>
    </w:r>
  </w:p>
  <w:p>
    <w:pPr>
      <w:pStyle w:val="25"/>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24</w:t>
    </w:r>
    <w:r>
      <w:fldChar w:fldCharType="end"/>
    </w:r>
  </w:p>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44478"/>
    <w:multiLevelType w:val="singleLevel"/>
    <w:tmpl w:val="CF744478"/>
    <w:lvl w:ilvl="0" w:tentative="0">
      <w:start w:val="5"/>
      <w:numFmt w:val="chineseCounting"/>
      <w:suff w:val="space"/>
      <w:lvlText w:val="第%1章"/>
      <w:lvlJc w:val="left"/>
      <w:rPr>
        <w:rFonts w:hint="eastAsia"/>
      </w:rPr>
    </w:lvl>
  </w:abstractNum>
  <w:abstractNum w:abstractNumId="1">
    <w:nsid w:val="0000000E"/>
    <w:multiLevelType w:val="multilevel"/>
    <w:tmpl w:val="0000000E"/>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A022E0"/>
    <w:multiLevelType w:val="singleLevel"/>
    <w:tmpl w:val="5AA022E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61"/>
    <w:rsid w:val="00016A09"/>
    <w:rsid w:val="00031EFA"/>
    <w:rsid w:val="00150060"/>
    <w:rsid w:val="002C530C"/>
    <w:rsid w:val="003154D0"/>
    <w:rsid w:val="003E4004"/>
    <w:rsid w:val="00432C58"/>
    <w:rsid w:val="00794F61"/>
    <w:rsid w:val="008255AC"/>
    <w:rsid w:val="00A6423F"/>
    <w:rsid w:val="00BA152B"/>
    <w:rsid w:val="00BC7A64"/>
    <w:rsid w:val="00F60D8A"/>
    <w:rsid w:val="4F65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qFormat="1" w:uiPriority="99" w:semiHidden="0"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47"/>
    <w:qFormat/>
    <w:uiPriority w:val="0"/>
    <w:pPr>
      <w:keepNext/>
      <w:keepLines/>
      <w:spacing w:before="340" w:after="330" w:line="576" w:lineRule="auto"/>
      <w:outlineLvl w:val="0"/>
    </w:pPr>
    <w:rPr>
      <w:b/>
      <w:kern w:val="44"/>
      <w:sz w:val="44"/>
    </w:rPr>
  </w:style>
  <w:style w:type="paragraph" w:styleId="3">
    <w:name w:val="heading 2"/>
    <w:basedOn w:val="1"/>
    <w:next w:val="1"/>
    <w:link w:val="4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9"/>
    <w:qFormat/>
    <w:uiPriority w:val="0"/>
    <w:pPr>
      <w:keepNext/>
      <w:keepLines/>
      <w:spacing w:before="260" w:after="260" w:line="413" w:lineRule="auto"/>
      <w:outlineLvl w:val="2"/>
    </w:pPr>
    <w:rPr>
      <w:b/>
      <w:sz w:val="32"/>
    </w:rPr>
  </w:style>
  <w:style w:type="paragraph" w:styleId="5">
    <w:name w:val="heading 4"/>
    <w:basedOn w:val="1"/>
    <w:next w:val="1"/>
    <w:link w:val="50"/>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5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7">
    <w:name w:val="heading 7"/>
    <w:basedOn w:val="1"/>
    <w:next w:val="1"/>
    <w:link w:val="5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8">
    <w:name w:val="heading 8"/>
    <w:basedOn w:val="1"/>
    <w:next w:val="1"/>
    <w:link w:val="5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9">
    <w:name w:val="heading 9"/>
    <w:basedOn w:val="1"/>
    <w:next w:val="1"/>
    <w:link w:val="5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unhideWhenUsed/>
    <w:qFormat/>
    <w:uiPriority w:val="39"/>
    <w:pPr>
      <w:ind w:left="2520" w:leftChars="1200"/>
    </w:pPr>
    <w:rPr>
      <w:rFonts w:ascii="Calibri" w:hAnsi="Calibri"/>
      <w:szCs w:val="22"/>
    </w:rPr>
  </w:style>
  <w:style w:type="paragraph" w:styleId="11">
    <w:name w:val="Normal Indent"/>
    <w:basedOn w:val="1"/>
    <w:qFormat/>
    <w:uiPriority w:val="0"/>
    <w:pPr>
      <w:ind w:firstLine="420" w:firstLineChars="200"/>
    </w:pPr>
  </w:style>
  <w:style w:type="paragraph" w:styleId="12">
    <w:name w:val="Document Map"/>
    <w:basedOn w:val="1"/>
    <w:link w:val="55"/>
    <w:qFormat/>
    <w:uiPriority w:val="0"/>
    <w:pPr>
      <w:shd w:val="clear" w:color="auto" w:fill="000080"/>
    </w:pPr>
  </w:style>
  <w:style w:type="paragraph" w:styleId="13">
    <w:name w:val="annotation text"/>
    <w:basedOn w:val="1"/>
    <w:link w:val="56"/>
    <w:qFormat/>
    <w:uiPriority w:val="0"/>
    <w:pPr>
      <w:jc w:val="left"/>
    </w:pPr>
  </w:style>
  <w:style w:type="paragraph" w:styleId="14">
    <w:name w:val="Body Text 3"/>
    <w:basedOn w:val="1"/>
    <w:link w:val="57"/>
    <w:qFormat/>
    <w:uiPriority w:val="0"/>
    <w:rPr>
      <w:rFonts w:ascii="宋体"/>
      <w:sz w:val="24"/>
    </w:rPr>
  </w:style>
  <w:style w:type="paragraph" w:styleId="15">
    <w:name w:val="Body Text"/>
    <w:basedOn w:val="1"/>
    <w:link w:val="58"/>
    <w:qFormat/>
    <w:uiPriority w:val="0"/>
    <w:pPr>
      <w:spacing w:after="120"/>
    </w:pPr>
  </w:style>
  <w:style w:type="paragraph" w:styleId="16">
    <w:name w:val="Body Text Indent"/>
    <w:basedOn w:val="1"/>
    <w:link w:val="59"/>
    <w:qFormat/>
    <w:uiPriority w:val="0"/>
    <w:pPr>
      <w:spacing w:after="120"/>
      <w:ind w:left="420" w:leftChars="200"/>
    </w:pPr>
  </w:style>
  <w:style w:type="paragraph" w:styleId="17">
    <w:name w:val="Block Text"/>
    <w:basedOn w:val="1"/>
    <w:unhideWhenUsed/>
    <w:qFormat/>
    <w:uiPriority w:val="99"/>
    <w:pPr>
      <w:spacing w:after="120"/>
      <w:ind w:left="1440" w:leftChars="700" w:right="1440" w:rightChars="700"/>
    </w:pPr>
    <w:rPr>
      <w:rFonts w:ascii="Calibri" w:hAnsi="Calibri" w:eastAsia="微软雅黑"/>
    </w:rPr>
  </w:style>
  <w:style w:type="paragraph" w:styleId="18">
    <w:name w:val="index 4"/>
    <w:basedOn w:val="1"/>
    <w:next w:val="1"/>
    <w:unhideWhenUsed/>
    <w:qFormat/>
    <w:uiPriority w:val="99"/>
    <w:pPr>
      <w:ind w:left="600" w:leftChars="600"/>
    </w:pPr>
    <w:rPr>
      <w:rFonts w:ascii="Verdana" w:hAnsi="Verdana"/>
    </w:rPr>
  </w:style>
  <w:style w:type="paragraph" w:styleId="19">
    <w:name w:val="toc 5"/>
    <w:basedOn w:val="1"/>
    <w:next w:val="1"/>
    <w:unhideWhenUsed/>
    <w:uiPriority w:val="39"/>
    <w:pPr>
      <w:ind w:left="1680" w:leftChars="800"/>
    </w:pPr>
    <w:rPr>
      <w:rFonts w:ascii="Calibri" w:hAnsi="Calibri"/>
      <w:szCs w:val="22"/>
    </w:rPr>
  </w:style>
  <w:style w:type="paragraph" w:styleId="20">
    <w:name w:val="toc 3"/>
    <w:basedOn w:val="1"/>
    <w:next w:val="1"/>
    <w:qFormat/>
    <w:uiPriority w:val="39"/>
    <w:pPr>
      <w:ind w:left="840" w:leftChars="400"/>
    </w:pPr>
  </w:style>
  <w:style w:type="paragraph" w:styleId="21">
    <w:name w:val="Plain Text"/>
    <w:basedOn w:val="1"/>
    <w:link w:val="60"/>
    <w:unhideWhenUsed/>
    <w:qFormat/>
    <w:uiPriority w:val="0"/>
    <w:rPr>
      <w:rFonts w:ascii="宋体" w:hAnsi="Courier New"/>
      <w:szCs w:val="21"/>
    </w:rPr>
  </w:style>
  <w:style w:type="paragraph" w:styleId="22">
    <w:name w:val="toc 8"/>
    <w:basedOn w:val="1"/>
    <w:next w:val="1"/>
    <w:unhideWhenUsed/>
    <w:uiPriority w:val="39"/>
    <w:pPr>
      <w:ind w:left="2940" w:leftChars="1400"/>
    </w:pPr>
    <w:rPr>
      <w:rFonts w:ascii="Calibri" w:hAnsi="Calibri"/>
      <w:szCs w:val="22"/>
    </w:rPr>
  </w:style>
  <w:style w:type="paragraph" w:styleId="23">
    <w:name w:val="Date"/>
    <w:basedOn w:val="1"/>
    <w:next w:val="1"/>
    <w:link w:val="61"/>
    <w:qFormat/>
    <w:uiPriority w:val="0"/>
    <w:rPr>
      <w:sz w:val="24"/>
    </w:rPr>
  </w:style>
  <w:style w:type="paragraph" w:styleId="24">
    <w:name w:val="Balloon Text"/>
    <w:basedOn w:val="1"/>
    <w:link w:val="62"/>
    <w:qFormat/>
    <w:uiPriority w:val="0"/>
    <w:rPr>
      <w:sz w:val="18"/>
    </w:rPr>
  </w:style>
  <w:style w:type="paragraph" w:styleId="25">
    <w:name w:val="footer"/>
    <w:basedOn w:val="1"/>
    <w:link w:val="63"/>
    <w:qFormat/>
    <w:uiPriority w:val="99"/>
    <w:pPr>
      <w:tabs>
        <w:tab w:val="center" w:pos="4153"/>
        <w:tab w:val="right" w:pos="8306"/>
      </w:tabs>
      <w:snapToGrid w:val="0"/>
      <w:jc w:val="left"/>
    </w:pPr>
    <w:rPr>
      <w:sz w:val="18"/>
    </w:rPr>
  </w:style>
  <w:style w:type="paragraph" w:styleId="26">
    <w:name w:val="header"/>
    <w:basedOn w:val="1"/>
    <w:link w:val="64"/>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pPr>
      <w:spacing w:line="440" w:lineRule="exact"/>
      <w:jc w:val="center"/>
    </w:pPr>
  </w:style>
  <w:style w:type="paragraph" w:styleId="28">
    <w:name w:val="toc 4"/>
    <w:basedOn w:val="1"/>
    <w:next w:val="1"/>
    <w:unhideWhenUsed/>
    <w:qFormat/>
    <w:uiPriority w:val="39"/>
    <w:pPr>
      <w:ind w:left="1260" w:leftChars="600"/>
    </w:pPr>
    <w:rPr>
      <w:rFonts w:ascii="Calibri" w:hAnsi="Calibri"/>
      <w:szCs w:val="22"/>
    </w:rPr>
  </w:style>
  <w:style w:type="paragraph" w:styleId="29">
    <w:name w:val="Subtitle"/>
    <w:basedOn w:val="1"/>
    <w:next w:val="1"/>
    <w:link w:val="65"/>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unhideWhenUsed/>
    <w:qFormat/>
    <w:uiPriority w:val="39"/>
    <w:pPr>
      <w:ind w:left="2100" w:leftChars="1000"/>
    </w:pPr>
    <w:rPr>
      <w:rFonts w:ascii="Calibri" w:hAnsi="Calibri"/>
      <w:szCs w:val="22"/>
    </w:rPr>
  </w:style>
  <w:style w:type="paragraph" w:styleId="31">
    <w:name w:val="Body Text Indent 3"/>
    <w:basedOn w:val="1"/>
    <w:link w:val="66"/>
    <w:qFormat/>
    <w:uiPriority w:val="0"/>
    <w:pPr>
      <w:spacing w:after="120"/>
      <w:ind w:left="420" w:leftChars="200"/>
    </w:pPr>
    <w:rPr>
      <w:sz w:val="16"/>
    </w:rPr>
  </w:style>
  <w:style w:type="paragraph" w:styleId="32">
    <w:name w:val="toc 2"/>
    <w:basedOn w:val="1"/>
    <w:next w:val="1"/>
    <w:qFormat/>
    <w:uiPriority w:val="39"/>
    <w:pPr>
      <w:ind w:left="420" w:leftChars="200"/>
    </w:pPr>
  </w:style>
  <w:style w:type="paragraph" w:styleId="33">
    <w:name w:val="toc 9"/>
    <w:basedOn w:val="1"/>
    <w:next w:val="1"/>
    <w:unhideWhenUsed/>
    <w:qFormat/>
    <w:uiPriority w:val="39"/>
    <w:pPr>
      <w:ind w:left="3360" w:leftChars="1600"/>
    </w:pPr>
    <w:rPr>
      <w:rFonts w:ascii="Calibri" w:hAnsi="Calibri"/>
      <w:szCs w:val="22"/>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index 1"/>
    <w:basedOn w:val="1"/>
    <w:next w:val="1"/>
    <w:qFormat/>
    <w:uiPriority w:val="0"/>
    <w:pPr>
      <w:spacing w:line="220" w:lineRule="exact"/>
      <w:jc w:val="center"/>
    </w:pPr>
    <w:rPr>
      <w:rFonts w:ascii="仿宋_GB2312" w:eastAsia="仿宋_GB2312"/>
    </w:rPr>
  </w:style>
  <w:style w:type="paragraph" w:styleId="36">
    <w:name w:val="Title"/>
    <w:basedOn w:val="1"/>
    <w:link w:val="68"/>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37">
    <w:name w:val="annotation subject"/>
    <w:basedOn w:val="13"/>
    <w:next w:val="13"/>
    <w:link w:val="69"/>
    <w:qFormat/>
    <w:uiPriority w:val="0"/>
    <w:rPr>
      <w:b/>
      <w:bCs/>
    </w:rPr>
  </w:style>
  <w:style w:type="table" w:styleId="39">
    <w:name w:val="Table Grid"/>
    <w:basedOn w:val="38"/>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22"/>
    <w:rPr>
      <w:b/>
      <w:bCs/>
    </w:rPr>
  </w:style>
  <w:style w:type="character" w:styleId="42">
    <w:name w:val="page number"/>
    <w:qFormat/>
    <w:uiPriority w:val="0"/>
  </w:style>
  <w:style w:type="character" w:styleId="43">
    <w:name w:val="FollowedHyperlink"/>
    <w:qFormat/>
    <w:uiPriority w:val="99"/>
    <w:rPr>
      <w:color w:val="800080"/>
      <w:u w:val="single"/>
    </w:rPr>
  </w:style>
  <w:style w:type="character" w:styleId="44">
    <w:name w:val="Emphasis"/>
    <w:qFormat/>
    <w:uiPriority w:val="0"/>
    <w:rPr>
      <w:i/>
      <w:iCs/>
    </w:rPr>
  </w:style>
  <w:style w:type="character" w:styleId="45">
    <w:name w:val="Hyperlink"/>
    <w:uiPriority w:val="99"/>
    <w:rPr>
      <w:color w:val="0000FF"/>
      <w:u w:val="single"/>
    </w:rPr>
  </w:style>
  <w:style w:type="character" w:styleId="46">
    <w:name w:val="annotation reference"/>
    <w:qFormat/>
    <w:uiPriority w:val="0"/>
    <w:rPr>
      <w:sz w:val="21"/>
    </w:rPr>
  </w:style>
  <w:style w:type="character" w:customStyle="1" w:styleId="47">
    <w:name w:val="标题 1 字符"/>
    <w:basedOn w:val="40"/>
    <w:link w:val="2"/>
    <w:qFormat/>
    <w:uiPriority w:val="0"/>
    <w:rPr>
      <w:rFonts w:ascii="Times New Roman" w:hAnsi="Times New Roman" w:eastAsia="宋体" w:cs="Times New Roman"/>
      <w:b/>
      <w:kern w:val="44"/>
      <w:sz w:val="44"/>
      <w:szCs w:val="20"/>
    </w:rPr>
  </w:style>
  <w:style w:type="character" w:customStyle="1" w:styleId="48">
    <w:name w:val="标题 2 字符"/>
    <w:basedOn w:val="40"/>
    <w:link w:val="3"/>
    <w:qFormat/>
    <w:uiPriority w:val="0"/>
    <w:rPr>
      <w:rFonts w:ascii="Arial" w:hAnsi="Arial" w:eastAsia="黑体" w:cs="Times New Roman"/>
      <w:b/>
      <w:sz w:val="32"/>
      <w:szCs w:val="20"/>
    </w:rPr>
  </w:style>
  <w:style w:type="character" w:customStyle="1" w:styleId="49">
    <w:name w:val="标题 3 字符"/>
    <w:basedOn w:val="40"/>
    <w:link w:val="4"/>
    <w:qFormat/>
    <w:uiPriority w:val="0"/>
    <w:rPr>
      <w:rFonts w:ascii="Times New Roman" w:hAnsi="Times New Roman" w:eastAsia="宋体" w:cs="Times New Roman"/>
      <w:b/>
      <w:sz w:val="32"/>
      <w:szCs w:val="20"/>
    </w:rPr>
  </w:style>
  <w:style w:type="character" w:customStyle="1" w:styleId="50">
    <w:name w:val="标题 4 字符"/>
    <w:basedOn w:val="40"/>
    <w:link w:val="5"/>
    <w:qFormat/>
    <w:uiPriority w:val="0"/>
    <w:rPr>
      <w:rFonts w:ascii="Arial" w:hAnsi="Arial" w:eastAsia="黑体" w:cs="Times New Roman"/>
      <w:b/>
      <w:sz w:val="28"/>
      <w:szCs w:val="20"/>
    </w:rPr>
  </w:style>
  <w:style w:type="character" w:customStyle="1" w:styleId="51">
    <w:name w:val="标题 6 字符"/>
    <w:basedOn w:val="40"/>
    <w:link w:val="6"/>
    <w:qFormat/>
    <w:uiPriority w:val="0"/>
    <w:rPr>
      <w:rFonts w:ascii="Arial" w:hAnsi="Arial" w:eastAsia="黑体" w:cs="Times New Roman"/>
      <w:b/>
      <w:kern w:val="0"/>
      <w:sz w:val="24"/>
      <w:szCs w:val="20"/>
    </w:rPr>
  </w:style>
  <w:style w:type="character" w:customStyle="1" w:styleId="52">
    <w:name w:val="标题 7 字符"/>
    <w:basedOn w:val="40"/>
    <w:link w:val="7"/>
    <w:qFormat/>
    <w:uiPriority w:val="0"/>
    <w:rPr>
      <w:rFonts w:ascii="Times New Roman" w:hAnsi="Times New Roman" w:eastAsia="宋体" w:cs="Times New Roman"/>
      <w:b/>
      <w:kern w:val="0"/>
      <w:sz w:val="24"/>
      <w:szCs w:val="20"/>
    </w:rPr>
  </w:style>
  <w:style w:type="character" w:customStyle="1" w:styleId="53">
    <w:name w:val="标题 8 字符"/>
    <w:basedOn w:val="40"/>
    <w:link w:val="8"/>
    <w:qFormat/>
    <w:uiPriority w:val="0"/>
    <w:rPr>
      <w:rFonts w:ascii="Arial" w:hAnsi="Arial" w:eastAsia="黑体" w:cs="Times New Roman"/>
      <w:kern w:val="0"/>
      <w:sz w:val="24"/>
      <w:szCs w:val="20"/>
    </w:rPr>
  </w:style>
  <w:style w:type="character" w:customStyle="1" w:styleId="54">
    <w:name w:val="标题 9 字符"/>
    <w:basedOn w:val="40"/>
    <w:link w:val="9"/>
    <w:qFormat/>
    <w:uiPriority w:val="0"/>
    <w:rPr>
      <w:rFonts w:ascii="Arial" w:hAnsi="Arial" w:eastAsia="黑体" w:cs="Times New Roman"/>
      <w:kern w:val="0"/>
      <w:szCs w:val="20"/>
    </w:rPr>
  </w:style>
  <w:style w:type="character" w:customStyle="1" w:styleId="55">
    <w:name w:val="文档结构图 字符"/>
    <w:basedOn w:val="40"/>
    <w:link w:val="12"/>
    <w:qFormat/>
    <w:uiPriority w:val="0"/>
    <w:rPr>
      <w:rFonts w:ascii="Times New Roman" w:hAnsi="Times New Roman" w:eastAsia="宋体" w:cs="Times New Roman"/>
      <w:szCs w:val="20"/>
      <w:shd w:val="clear" w:color="auto" w:fill="000080"/>
    </w:rPr>
  </w:style>
  <w:style w:type="character" w:customStyle="1" w:styleId="56">
    <w:name w:val="批注文字 字符"/>
    <w:basedOn w:val="40"/>
    <w:link w:val="13"/>
    <w:qFormat/>
    <w:uiPriority w:val="0"/>
    <w:rPr>
      <w:rFonts w:ascii="Times New Roman" w:hAnsi="Times New Roman" w:eastAsia="宋体" w:cs="Times New Roman"/>
      <w:szCs w:val="20"/>
    </w:rPr>
  </w:style>
  <w:style w:type="character" w:customStyle="1" w:styleId="57">
    <w:name w:val="正文文本 3 字符"/>
    <w:basedOn w:val="40"/>
    <w:link w:val="14"/>
    <w:qFormat/>
    <w:uiPriority w:val="0"/>
    <w:rPr>
      <w:rFonts w:ascii="宋体" w:hAnsi="Times New Roman" w:eastAsia="宋体" w:cs="Times New Roman"/>
      <w:sz w:val="24"/>
      <w:szCs w:val="20"/>
    </w:rPr>
  </w:style>
  <w:style w:type="character" w:customStyle="1" w:styleId="58">
    <w:name w:val="正文文本 字符"/>
    <w:basedOn w:val="40"/>
    <w:link w:val="15"/>
    <w:qFormat/>
    <w:uiPriority w:val="0"/>
    <w:rPr>
      <w:rFonts w:ascii="Times New Roman" w:hAnsi="Times New Roman" w:eastAsia="宋体" w:cs="Times New Roman"/>
      <w:szCs w:val="20"/>
    </w:rPr>
  </w:style>
  <w:style w:type="character" w:customStyle="1" w:styleId="59">
    <w:name w:val="正文文本缩进 字符"/>
    <w:basedOn w:val="40"/>
    <w:link w:val="16"/>
    <w:qFormat/>
    <w:uiPriority w:val="0"/>
    <w:rPr>
      <w:rFonts w:ascii="Times New Roman" w:hAnsi="Times New Roman" w:eastAsia="宋体" w:cs="Times New Roman"/>
      <w:szCs w:val="20"/>
    </w:rPr>
  </w:style>
  <w:style w:type="character" w:customStyle="1" w:styleId="60">
    <w:name w:val="纯文本 字符"/>
    <w:basedOn w:val="40"/>
    <w:link w:val="21"/>
    <w:qFormat/>
    <w:uiPriority w:val="0"/>
    <w:rPr>
      <w:rFonts w:ascii="宋体" w:hAnsi="Courier New" w:eastAsia="宋体" w:cs="Times New Roman"/>
      <w:szCs w:val="21"/>
    </w:rPr>
  </w:style>
  <w:style w:type="character" w:customStyle="1" w:styleId="61">
    <w:name w:val="日期 字符"/>
    <w:basedOn w:val="40"/>
    <w:link w:val="23"/>
    <w:qFormat/>
    <w:uiPriority w:val="0"/>
    <w:rPr>
      <w:rFonts w:ascii="Times New Roman" w:hAnsi="Times New Roman" w:eastAsia="宋体" w:cs="Times New Roman"/>
      <w:sz w:val="24"/>
      <w:szCs w:val="20"/>
    </w:rPr>
  </w:style>
  <w:style w:type="character" w:customStyle="1" w:styleId="62">
    <w:name w:val="批注框文本 字符"/>
    <w:basedOn w:val="40"/>
    <w:link w:val="24"/>
    <w:qFormat/>
    <w:uiPriority w:val="0"/>
    <w:rPr>
      <w:rFonts w:ascii="Times New Roman" w:hAnsi="Times New Roman" w:eastAsia="宋体" w:cs="Times New Roman"/>
      <w:sz w:val="18"/>
      <w:szCs w:val="20"/>
    </w:rPr>
  </w:style>
  <w:style w:type="character" w:customStyle="1" w:styleId="63">
    <w:name w:val="页脚 字符"/>
    <w:basedOn w:val="40"/>
    <w:link w:val="25"/>
    <w:qFormat/>
    <w:uiPriority w:val="99"/>
    <w:rPr>
      <w:rFonts w:ascii="Times New Roman" w:hAnsi="Times New Roman" w:eastAsia="宋体" w:cs="Times New Roman"/>
      <w:sz w:val="18"/>
      <w:szCs w:val="20"/>
    </w:rPr>
  </w:style>
  <w:style w:type="character" w:customStyle="1" w:styleId="64">
    <w:name w:val="页眉 字符"/>
    <w:basedOn w:val="40"/>
    <w:link w:val="26"/>
    <w:qFormat/>
    <w:uiPriority w:val="0"/>
    <w:rPr>
      <w:rFonts w:ascii="Times New Roman" w:hAnsi="Times New Roman" w:eastAsia="宋体" w:cs="Times New Roman"/>
      <w:sz w:val="18"/>
      <w:szCs w:val="20"/>
    </w:rPr>
  </w:style>
  <w:style w:type="character" w:customStyle="1" w:styleId="65">
    <w:name w:val="副标题 字符"/>
    <w:basedOn w:val="40"/>
    <w:link w:val="29"/>
    <w:qFormat/>
    <w:uiPriority w:val="0"/>
    <w:rPr>
      <w:rFonts w:ascii="Cambria" w:hAnsi="Cambria" w:eastAsia="宋体" w:cs="Times New Roman"/>
      <w:b/>
      <w:bCs/>
      <w:kern w:val="28"/>
      <w:sz w:val="32"/>
      <w:szCs w:val="32"/>
    </w:rPr>
  </w:style>
  <w:style w:type="character" w:customStyle="1" w:styleId="66">
    <w:name w:val="正文文本缩进 3 字符"/>
    <w:basedOn w:val="40"/>
    <w:link w:val="31"/>
    <w:qFormat/>
    <w:uiPriority w:val="0"/>
    <w:rPr>
      <w:rFonts w:ascii="Times New Roman" w:hAnsi="Times New Roman" w:eastAsia="宋体" w:cs="Times New Roman"/>
      <w:sz w:val="16"/>
      <w:szCs w:val="20"/>
    </w:rPr>
  </w:style>
  <w:style w:type="character" w:customStyle="1" w:styleId="67">
    <w:name w:val="标题 字符"/>
    <w:basedOn w:val="40"/>
    <w:qFormat/>
    <w:uiPriority w:val="99"/>
    <w:rPr>
      <w:rFonts w:asciiTheme="majorHAnsi" w:hAnsiTheme="majorHAnsi" w:eastAsiaTheme="majorEastAsia" w:cstheme="majorBidi"/>
      <w:b/>
      <w:bCs/>
      <w:sz w:val="32"/>
      <w:szCs w:val="32"/>
    </w:rPr>
  </w:style>
  <w:style w:type="character" w:customStyle="1" w:styleId="68">
    <w:name w:val="标题 字符1"/>
    <w:link w:val="36"/>
    <w:qFormat/>
    <w:uiPriority w:val="0"/>
    <w:rPr>
      <w:rFonts w:ascii="Arial" w:hAnsi="Arial" w:eastAsia="宋体" w:cs="Times New Roman"/>
      <w:b/>
      <w:kern w:val="0"/>
      <w:sz w:val="32"/>
      <w:szCs w:val="20"/>
    </w:rPr>
  </w:style>
  <w:style w:type="character" w:customStyle="1" w:styleId="69">
    <w:name w:val="批注主题 字符"/>
    <w:basedOn w:val="56"/>
    <w:link w:val="37"/>
    <w:qFormat/>
    <w:uiPriority w:val="0"/>
    <w:rPr>
      <w:rFonts w:ascii="Times New Roman" w:hAnsi="Times New Roman" w:eastAsia="宋体" w:cs="Times New Roman"/>
      <w:b/>
      <w:bCs/>
      <w:szCs w:val="20"/>
    </w:rPr>
  </w:style>
  <w:style w:type="character" w:customStyle="1" w:styleId="70">
    <w:name w:val="font161"/>
    <w:qFormat/>
    <w:uiPriority w:val="0"/>
    <w:rPr>
      <w:b/>
      <w:sz w:val="32"/>
    </w:rPr>
  </w:style>
  <w:style w:type="character" w:customStyle="1" w:styleId="71">
    <w:name w:val="批注文字 字符1"/>
    <w:qFormat/>
    <w:uiPriority w:val="0"/>
    <w:rPr>
      <w:szCs w:val="22"/>
    </w:rPr>
  </w:style>
  <w:style w:type="character" w:customStyle="1" w:styleId="72">
    <w:name w:val="标题 1 Char1"/>
    <w:qFormat/>
    <w:uiPriority w:val="0"/>
    <w:rPr>
      <w:b/>
      <w:kern w:val="44"/>
      <w:sz w:val="44"/>
    </w:rPr>
  </w:style>
  <w:style w:type="character" w:customStyle="1" w:styleId="73">
    <w:name w:val="bookmark"/>
    <w:qFormat/>
    <w:uiPriority w:val="0"/>
  </w:style>
  <w:style w:type="character" w:customStyle="1" w:styleId="74">
    <w:name w:val="纯文本 Char"/>
    <w:qFormat/>
    <w:uiPriority w:val="0"/>
    <w:rPr>
      <w:rFonts w:ascii="宋体" w:hAnsi="Courier New" w:cs="Courier New"/>
      <w:kern w:val="2"/>
      <w:sz w:val="21"/>
      <w:szCs w:val="21"/>
    </w:rPr>
  </w:style>
  <w:style w:type="character" w:customStyle="1" w:styleId="75">
    <w:name w:val="副标题 Char"/>
    <w:qFormat/>
    <w:uiPriority w:val="0"/>
    <w:rPr>
      <w:rFonts w:ascii="Cambria" w:hAnsi="Cambria" w:cs="Times New Roman"/>
      <w:b/>
      <w:bCs/>
      <w:kern w:val="28"/>
      <w:sz w:val="32"/>
      <w:szCs w:val="32"/>
    </w:rPr>
  </w:style>
  <w:style w:type="paragraph" w:customStyle="1" w:styleId="7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rPr>
  </w:style>
  <w:style w:type="paragraph" w:customStyle="1" w:styleId="77">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7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b w:val="0"/>
      <w:sz w:val="32"/>
    </w:rPr>
  </w:style>
  <w:style w:type="paragraph" w:customStyle="1" w:styleId="79">
    <w:name w:val="xl127"/>
    <w:basedOn w:val="1"/>
    <w:qFormat/>
    <w:uiPriority w:val="0"/>
    <w:pPr>
      <w:widowControl/>
      <w:pBdr>
        <w:top w:val="single" w:color="000000" w:sz="4" w:space="0"/>
        <w:left w:val="single" w:color="000000" w:sz="4" w:space="0"/>
        <w:bottom w:val="single" w:color="auto" w:sz="4" w:space="0"/>
        <w:right w:val="single" w:color="000000" w:sz="4" w:space="0"/>
      </w:pBdr>
      <w:shd w:val="clear" w:color="000000" w:fill="FFFFFF"/>
      <w:spacing w:before="100" w:beforeAutospacing="1" w:after="100" w:afterAutospacing="1"/>
      <w:jc w:val="right"/>
      <w:textAlignment w:val="center"/>
    </w:pPr>
    <w:rPr>
      <w:rFonts w:ascii="宋体" w:hAnsi="宋体" w:cs="宋体"/>
      <w:kern w:val="0"/>
      <w:sz w:val="24"/>
      <w:szCs w:val="24"/>
    </w:rPr>
  </w:style>
  <w:style w:type="paragraph" w:customStyle="1" w:styleId="8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24"/>
      <w:szCs w:val="24"/>
    </w:rPr>
  </w:style>
  <w:style w:type="paragraph" w:customStyle="1" w:styleId="81">
    <w:name w:val="xl63"/>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82">
    <w:name w:val="xl135"/>
    <w:basedOn w:val="1"/>
    <w:qFormat/>
    <w:uiPriority w:val="0"/>
    <w:pPr>
      <w:widowControl/>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3">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4">
    <w:name w:val="xl134"/>
    <w:basedOn w:val="1"/>
    <w:qFormat/>
    <w:uiPriority w:val="0"/>
    <w:pPr>
      <w:widowControl/>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8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86">
    <w:name w:val="xl68"/>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87">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88">
    <w:name w:val="xl76"/>
    <w:basedOn w:val="1"/>
    <w:qFormat/>
    <w:uiPriority w:val="0"/>
    <w:pPr>
      <w:widowControl/>
      <w:spacing w:before="100" w:beforeAutospacing="1" w:after="100" w:afterAutospacing="1"/>
      <w:jc w:val="right"/>
      <w:textAlignment w:val="center"/>
    </w:pPr>
    <w:rPr>
      <w:rFonts w:ascii="宋体" w:hAnsi="宋体" w:cs="宋体"/>
      <w:color w:val="000000"/>
      <w:kern w:val="0"/>
      <w:sz w:val="24"/>
      <w:szCs w:val="24"/>
    </w:rPr>
  </w:style>
  <w:style w:type="paragraph" w:customStyle="1" w:styleId="89">
    <w:name w:val="xl67"/>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right"/>
      <w:textAlignment w:val="center"/>
    </w:pPr>
    <w:rPr>
      <w:rFonts w:ascii="宋体" w:hAnsi="宋体" w:cs="宋体"/>
      <w:b/>
      <w:bCs/>
      <w:color w:val="000000"/>
      <w:kern w:val="0"/>
      <w:sz w:val="20"/>
    </w:rPr>
  </w:style>
  <w:style w:type="paragraph" w:customStyle="1" w:styleId="90">
    <w:name w:val="xl136"/>
    <w:basedOn w:val="1"/>
    <w:qFormat/>
    <w:uiPriority w:val="0"/>
    <w:pPr>
      <w:widowControl/>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right"/>
      <w:textAlignment w:val="center"/>
    </w:pPr>
    <w:rPr>
      <w:rFonts w:ascii="宋体" w:hAnsi="宋体" w:cs="宋体"/>
      <w:kern w:val="0"/>
      <w:sz w:val="24"/>
      <w:szCs w:val="24"/>
    </w:rPr>
  </w:style>
  <w:style w:type="paragraph" w:customStyle="1" w:styleId="91">
    <w:name w:val="xl102"/>
    <w:basedOn w:val="1"/>
    <w:qFormat/>
    <w:uiPriority w:val="0"/>
    <w:pPr>
      <w:widowControl/>
      <w:pBdr>
        <w:bottom w:val="single" w:color="auto" w:sz="4" w:space="0"/>
        <w:right w:val="single" w:color="000000" w:sz="8"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9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0"/>
    </w:rPr>
  </w:style>
  <w:style w:type="paragraph" w:customStyle="1" w:styleId="93">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94">
    <w:name w:val="xl93"/>
    <w:basedOn w:val="1"/>
    <w:qFormat/>
    <w:uiPriority w:val="0"/>
    <w:pPr>
      <w:widowControl/>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right"/>
      <w:textAlignment w:val="center"/>
    </w:pPr>
    <w:rPr>
      <w:rFonts w:ascii="宋体" w:hAnsi="宋体" w:cs="宋体"/>
      <w:kern w:val="0"/>
      <w:sz w:val="24"/>
      <w:szCs w:val="24"/>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b w:val="0"/>
      <w:sz w:val="28"/>
    </w:rPr>
  </w:style>
  <w:style w:type="paragraph" w:customStyle="1" w:styleId="96">
    <w:name w:val="xl129"/>
    <w:basedOn w:val="1"/>
    <w:qFormat/>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97">
    <w:name w:val="xl104"/>
    <w:basedOn w:val="1"/>
    <w:qFormat/>
    <w:uiPriority w:val="0"/>
    <w:pPr>
      <w:widowControl/>
      <w:pBdr>
        <w:top w:val="single" w:color="000000" w:sz="4" w:space="0"/>
        <w:left w:val="single" w:color="000000" w:sz="4" w:space="0"/>
        <w:bottom w:val="single" w:color="auto" w:sz="4" w:space="0"/>
        <w:right w:val="single" w:color="000000" w:sz="8" w:space="0"/>
      </w:pBdr>
      <w:shd w:val="clear" w:color="000000" w:fill="FFFFFF"/>
      <w:spacing w:before="100" w:beforeAutospacing="1" w:after="100" w:afterAutospacing="1"/>
      <w:jc w:val="right"/>
      <w:textAlignment w:val="center"/>
    </w:pPr>
    <w:rPr>
      <w:rFonts w:ascii="宋体" w:hAnsi="宋体" w:cs="宋体"/>
      <w:kern w:val="0"/>
      <w:sz w:val="24"/>
      <w:szCs w:val="24"/>
    </w:rPr>
  </w:style>
  <w:style w:type="paragraph" w:customStyle="1" w:styleId="98">
    <w:name w:val="xl77"/>
    <w:basedOn w:val="1"/>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0">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0"/>
    </w:rPr>
  </w:style>
  <w:style w:type="paragraph" w:customStyle="1" w:styleId="101">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0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3">
    <w:name w:val="font5"/>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04">
    <w:name w:val="xl138"/>
    <w:basedOn w:val="1"/>
    <w:qFormat/>
    <w:uiPriority w:val="0"/>
    <w:pPr>
      <w:widowControl/>
      <w:pBdr>
        <w:top w:val="single" w:color="auto" w:sz="4" w:space="0"/>
        <w:left w:val="single" w:color="auto" w:sz="4" w:space="0"/>
        <w:bottom w:val="single" w:color="000000"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5">
    <w:name w:val="样式 标题 3 + (中文) 黑体 小四 非加粗 段前: 7.8 磅 段后: 0 磅 行距: 固定值 20 磅"/>
    <w:basedOn w:val="4"/>
    <w:qFormat/>
    <w:uiPriority w:val="0"/>
    <w:pPr>
      <w:spacing w:before="0" w:after="0" w:line="400" w:lineRule="exact"/>
    </w:pPr>
    <w:rPr>
      <w:rFonts w:eastAsia="黑体"/>
      <w:b w:val="0"/>
      <w:sz w:val="24"/>
    </w:rPr>
  </w:style>
  <w:style w:type="paragraph" w:customStyle="1" w:styleId="106">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07">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16"/>
      <w:szCs w:val="16"/>
    </w:rPr>
  </w:style>
  <w:style w:type="paragraph" w:customStyle="1" w:styleId="10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09">
    <w:name w:val="xl74"/>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10">
    <w:name w:val="xl116"/>
    <w:basedOn w:val="1"/>
    <w:qFormat/>
    <w:uiPriority w:val="0"/>
    <w:pPr>
      <w:widowControl/>
      <w:pBdr>
        <w:top w:val="single" w:color="auto" w:sz="4" w:space="0"/>
        <w:left w:val="single" w:color="000000" w:sz="4" w:space="0"/>
        <w:bottom w:val="single" w:color="000000" w:sz="4" w:space="0"/>
        <w:right w:val="single" w:color="000000" w:sz="8" w:space="0"/>
      </w:pBdr>
      <w:shd w:val="clear" w:color="000000" w:fill="FFFFFF"/>
      <w:spacing w:before="100" w:beforeAutospacing="1" w:after="100" w:afterAutospacing="1"/>
      <w:jc w:val="right"/>
      <w:textAlignment w:val="center"/>
    </w:pPr>
    <w:rPr>
      <w:rFonts w:ascii="宋体" w:hAnsi="宋体" w:cs="宋体"/>
      <w:kern w:val="0"/>
      <w:sz w:val="24"/>
      <w:szCs w:val="24"/>
    </w:rPr>
  </w:style>
  <w:style w:type="paragraph" w:customStyle="1" w:styleId="111">
    <w:name w:val="xl91"/>
    <w:basedOn w:val="1"/>
    <w:qFormat/>
    <w:uiPriority w:val="0"/>
    <w:pPr>
      <w:widowControl/>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12">
    <w:name w:val="表格"/>
    <w:basedOn w:val="1"/>
    <w:qFormat/>
    <w:uiPriority w:val="0"/>
    <w:pPr>
      <w:jc w:val="center"/>
      <w:textAlignment w:val="center"/>
    </w:pPr>
    <w:rPr>
      <w:rFonts w:ascii="华文细黑" w:hAnsi="华文细黑"/>
      <w:kern w:val="0"/>
    </w:rPr>
  </w:style>
  <w:style w:type="paragraph" w:customStyle="1" w:styleId="113">
    <w:name w:val="xl72"/>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14">
    <w:name w:val="xl80"/>
    <w:basedOn w:val="1"/>
    <w:qFormat/>
    <w:uiPriority w:val="0"/>
    <w:pPr>
      <w:widowControl/>
      <w:pBdr>
        <w:top w:val="single" w:color="000000" w:sz="8"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15">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20"/>
    </w:rPr>
  </w:style>
  <w:style w:type="paragraph" w:customStyle="1" w:styleId="116">
    <w:name w:val="表格文字"/>
    <w:basedOn w:val="1"/>
    <w:qFormat/>
    <w:uiPriority w:val="0"/>
    <w:pPr>
      <w:adjustRightInd w:val="0"/>
      <w:spacing w:line="420" w:lineRule="atLeast"/>
      <w:jc w:val="left"/>
      <w:textAlignment w:val="baseline"/>
    </w:pPr>
    <w:rPr>
      <w:kern w:val="0"/>
    </w:rPr>
  </w:style>
  <w:style w:type="paragraph" w:customStyle="1" w:styleId="117">
    <w:name w:val="xl73"/>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118">
    <w:name w:val="xl141"/>
    <w:basedOn w:val="1"/>
    <w:qFormat/>
    <w:uiPriority w:val="0"/>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19">
    <w:name w:val="xl110"/>
    <w:basedOn w:val="1"/>
    <w:qFormat/>
    <w:uiPriority w:val="0"/>
    <w:pPr>
      <w:widowControl/>
      <w:pBdr>
        <w:top w:val="single" w:color="auto" w:sz="4" w:space="0"/>
        <w:left w:val="single" w:color="auto" w:sz="4" w:space="0"/>
        <w:bottom w:val="single" w:color="auto" w:sz="4" w:space="0"/>
        <w:right w:val="single" w:color="000000" w:sz="8" w:space="0"/>
      </w:pBdr>
      <w:shd w:val="clear" w:color="000000" w:fill="FFFFFF"/>
      <w:spacing w:before="100" w:beforeAutospacing="1" w:after="100" w:afterAutospacing="1"/>
      <w:jc w:val="right"/>
      <w:textAlignment w:val="center"/>
    </w:pPr>
    <w:rPr>
      <w:rFonts w:ascii="宋体" w:hAnsi="宋体" w:cs="宋体"/>
      <w:kern w:val="0"/>
      <w:sz w:val="24"/>
      <w:szCs w:val="24"/>
    </w:rPr>
  </w:style>
  <w:style w:type="paragraph" w:customStyle="1" w:styleId="120">
    <w:name w:val="xl64"/>
    <w:basedOn w:val="1"/>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0"/>
    </w:rPr>
  </w:style>
  <w:style w:type="paragraph" w:customStyle="1" w:styleId="121">
    <w:name w:val="xl14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22">
    <w:name w:val="1"/>
    <w:basedOn w:val="1"/>
    <w:next w:val="1"/>
    <w:qFormat/>
    <w:uiPriority w:val="0"/>
  </w:style>
  <w:style w:type="paragraph" w:customStyle="1" w:styleId="123">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24">
    <w:name w:val="xl7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right"/>
      <w:textAlignment w:val="center"/>
    </w:pPr>
    <w:rPr>
      <w:rFonts w:ascii="宋体" w:hAnsi="宋体" w:cs="宋体"/>
      <w:color w:val="000000"/>
      <w:kern w:val="0"/>
      <w:sz w:val="16"/>
      <w:szCs w:val="16"/>
    </w:rPr>
  </w:style>
  <w:style w:type="paragraph" w:customStyle="1" w:styleId="125">
    <w:name w:val="xl130"/>
    <w:basedOn w:val="1"/>
    <w:qFormat/>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26">
    <w:name w:val="xl78"/>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27">
    <w:name w:val="xl96"/>
    <w:basedOn w:val="1"/>
    <w:qFormat/>
    <w:uiPriority w:val="0"/>
    <w:pPr>
      <w:widowControl/>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28">
    <w:name w:val="xl79"/>
    <w:basedOn w:val="1"/>
    <w:qFormat/>
    <w:uiPriority w:val="0"/>
    <w:pPr>
      <w:widowControl/>
      <w:pBdr>
        <w:top w:val="single" w:color="000000" w:sz="8"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129">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30">
    <w:name w:val="xl123"/>
    <w:basedOn w:val="1"/>
    <w:qFormat/>
    <w:uiPriority w:val="0"/>
    <w:pPr>
      <w:widowControl/>
      <w:pBdr>
        <w:top w:val="single" w:color="000000" w:sz="4" w:space="0"/>
        <w:left w:val="single" w:color="000000" w:sz="8"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1">
    <w:name w:val="xl84"/>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32">
    <w:name w:val="xl112"/>
    <w:basedOn w:val="1"/>
    <w:qFormat/>
    <w:uiPriority w:val="0"/>
    <w:pPr>
      <w:widowControl/>
      <w:pBdr>
        <w:top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33">
    <w:name w:val="xl86"/>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34">
    <w:name w:val="xl115"/>
    <w:basedOn w:val="1"/>
    <w:qFormat/>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cs="宋体"/>
      <w:color w:val="0000FF"/>
      <w:kern w:val="0"/>
      <w:sz w:val="24"/>
      <w:szCs w:val="24"/>
    </w:rPr>
  </w:style>
  <w:style w:type="paragraph" w:customStyle="1" w:styleId="135">
    <w:name w:val="xl87"/>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36">
    <w:name w:val="列出段落1"/>
    <w:basedOn w:val="1"/>
    <w:qFormat/>
    <w:uiPriority w:val="99"/>
    <w:pPr>
      <w:widowControl/>
      <w:ind w:left="720"/>
      <w:contextualSpacing/>
      <w:jc w:val="left"/>
    </w:pPr>
    <w:rPr>
      <w:rFonts w:ascii="Arial" w:hAnsi="Arial" w:eastAsia="黑体"/>
      <w:kern w:val="0"/>
      <w:sz w:val="24"/>
      <w:szCs w:val="24"/>
      <w:lang w:eastAsia="en-US"/>
    </w:rPr>
  </w:style>
  <w:style w:type="paragraph" w:customStyle="1" w:styleId="137">
    <w:name w:val="xl12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38">
    <w:name w:val="xl88"/>
    <w:basedOn w:val="1"/>
    <w:qFormat/>
    <w:uiPriority w:val="0"/>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139">
    <w:name w:val="xl118"/>
    <w:basedOn w:val="1"/>
    <w:qFormat/>
    <w:uiPriority w:val="0"/>
    <w:pPr>
      <w:widowControl/>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40">
    <w:name w:val="xl89"/>
    <w:basedOn w:val="1"/>
    <w:qFormat/>
    <w:uiPriority w:val="0"/>
    <w:pPr>
      <w:widowControl/>
      <w:pBdr>
        <w:bottom w:val="single" w:color="000000" w:sz="8" w:space="0"/>
      </w:pBdr>
      <w:spacing w:before="100" w:beforeAutospacing="1" w:after="100" w:afterAutospacing="1"/>
      <w:jc w:val="left"/>
    </w:pPr>
    <w:rPr>
      <w:rFonts w:ascii="宋体" w:hAnsi="宋体" w:cs="宋体"/>
      <w:b/>
      <w:bCs/>
      <w:color w:val="000000"/>
      <w:kern w:val="0"/>
      <w:sz w:val="24"/>
      <w:szCs w:val="24"/>
    </w:rPr>
  </w:style>
  <w:style w:type="paragraph" w:customStyle="1" w:styleId="141">
    <w:name w:val="郑州正文"/>
    <w:basedOn w:val="1"/>
    <w:qFormat/>
    <w:uiPriority w:val="0"/>
    <w:pPr>
      <w:widowControl/>
      <w:spacing w:line="360" w:lineRule="auto"/>
      <w:ind w:firstLine="504" w:firstLineChars="200"/>
      <w:jc w:val="left"/>
    </w:pPr>
    <w:rPr>
      <w:rFonts w:ascii="宋体" w:hAnsi="宋体" w:cs="宋体"/>
      <w:spacing w:val="6"/>
      <w:kern w:val="0"/>
      <w:sz w:val="24"/>
      <w:szCs w:val="28"/>
    </w:rPr>
  </w:style>
  <w:style w:type="paragraph" w:customStyle="1" w:styleId="142">
    <w:name w:val="xl90"/>
    <w:basedOn w:val="1"/>
    <w:qFormat/>
    <w:uiPriority w:val="0"/>
    <w:pPr>
      <w:widowControl/>
      <w:pBdr>
        <w:bottom w:val="single" w:color="000000" w:sz="8" w:space="0"/>
      </w:pBdr>
      <w:spacing w:before="100" w:beforeAutospacing="1" w:after="100" w:afterAutospacing="1"/>
      <w:jc w:val="right"/>
    </w:pPr>
    <w:rPr>
      <w:rFonts w:ascii="宋体" w:hAnsi="宋体" w:cs="宋体"/>
      <w:b/>
      <w:bCs/>
      <w:color w:val="000000"/>
      <w:kern w:val="0"/>
      <w:sz w:val="24"/>
      <w:szCs w:val="24"/>
    </w:rPr>
  </w:style>
  <w:style w:type="paragraph" w:customStyle="1" w:styleId="143">
    <w:name w:val="xl92"/>
    <w:basedOn w:val="1"/>
    <w:qFormat/>
    <w:uiPriority w:val="0"/>
    <w:pPr>
      <w:widowControl/>
      <w:pBdr>
        <w:top w:val="single" w:color="000000" w:sz="4" w:space="0"/>
        <w:left w:val="single" w:color="000000" w:sz="8" w:space="0"/>
        <w:bottom w:val="single" w:color="000000" w:sz="8"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4">
    <w:name w:val="xl128"/>
    <w:basedOn w:val="1"/>
    <w:qFormat/>
    <w:uiPriority w:val="0"/>
    <w:pPr>
      <w:widowControl/>
      <w:pBdr>
        <w:top w:val="single" w:color="auto" w:sz="4" w:space="0"/>
        <w:left w:val="single" w:color="000000" w:sz="8"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5">
    <w:name w:val="xl95"/>
    <w:basedOn w:val="1"/>
    <w:qFormat/>
    <w:uiPriority w:val="0"/>
    <w:pPr>
      <w:widowControl/>
      <w:shd w:val="clear" w:color="000000" w:fill="FFFFFF"/>
      <w:spacing w:before="100" w:beforeAutospacing="1" w:after="100" w:afterAutospacing="1"/>
      <w:jc w:val="center"/>
      <w:textAlignment w:val="center"/>
    </w:pPr>
    <w:rPr>
      <w:rFonts w:ascii="宋体" w:hAnsi="宋体" w:cs="宋体"/>
      <w:b/>
      <w:bCs/>
      <w:kern w:val="0"/>
      <w:sz w:val="38"/>
      <w:szCs w:val="38"/>
    </w:rPr>
  </w:style>
  <w:style w:type="paragraph" w:customStyle="1" w:styleId="146">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147">
    <w:name w:val="xl98"/>
    <w:basedOn w:val="1"/>
    <w:qFormat/>
    <w:uiPriority w:val="0"/>
    <w:pPr>
      <w:widowControl/>
      <w:shd w:val="clear" w:color="000000" w:fill="FFFFFF"/>
      <w:spacing w:before="100" w:beforeAutospacing="1" w:after="100" w:afterAutospacing="1"/>
      <w:jc w:val="left"/>
      <w:textAlignment w:val="center"/>
    </w:pPr>
    <w:rPr>
      <w:rFonts w:ascii="宋体" w:hAnsi="宋体" w:cs="宋体"/>
      <w:b/>
      <w:bCs/>
      <w:kern w:val="0"/>
      <w:sz w:val="24"/>
      <w:szCs w:val="24"/>
    </w:rPr>
  </w:style>
  <w:style w:type="paragraph" w:customStyle="1" w:styleId="148">
    <w:name w:val="xl137"/>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49">
    <w:name w:val="xl99"/>
    <w:basedOn w:val="1"/>
    <w:qFormat/>
    <w:uiPriority w:val="0"/>
    <w:pPr>
      <w:widowControl/>
      <w:shd w:val="clear" w:color="000000" w:fill="FFFFFF"/>
      <w:spacing w:before="100" w:beforeAutospacing="1" w:after="100" w:afterAutospacing="1"/>
      <w:jc w:val="left"/>
    </w:pPr>
    <w:rPr>
      <w:rFonts w:ascii="宋体" w:hAnsi="宋体" w:cs="宋体"/>
      <w:color w:val="0000FF"/>
      <w:kern w:val="0"/>
      <w:sz w:val="24"/>
      <w:szCs w:val="24"/>
    </w:rPr>
  </w:style>
  <w:style w:type="paragraph" w:customStyle="1" w:styleId="150">
    <w:name w:val="xl132"/>
    <w:basedOn w:val="1"/>
    <w:qFormat/>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cs="宋体"/>
      <w:kern w:val="0"/>
      <w:sz w:val="24"/>
      <w:szCs w:val="24"/>
    </w:rPr>
  </w:style>
  <w:style w:type="paragraph" w:customStyle="1" w:styleId="151">
    <w:name w:val="xl100"/>
    <w:basedOn w:val="1"/>
    <w:qFormat/>
    <w:uiPriority w:val="0"/>
    <w:pPr>
      <w:widowControl/>
      <w:pBdr>
        <w:bottom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2">
    <w:name w:val="xl101"/>
    <w:basedOn w:val="1"/>
    <w:qFormat/>
    <w:uiPriority w:val="0"/>
    <w:pPr>
      <w:widowControl/>
      <w:pBdr>
        <w:bottom w:val="single" w:color="auto" w:sz="4" w:space="0"/>
      </w:pBdr>
      <w:shd w:val="clear" w:color="000000" w:fill="FFFFFF"/>
      <w:spacing w:before="100" w:beforeAutospacing="1" w:after="100" w:afterAutospacing="1"/>
      <w:jc w:val="left"/>
      <w:textAlignment w:val="center"/>
    </w:pPr>
    <w:rPr>
      <w:rFonts w:ascii="宋体" w:hAnsi="宋体" w:cs="宋体"/>
      <w:color w:val="0000FF"/>
      <w:kern w:val="0"/>
      <w:sz w:val="24"/>
      <w:szCs w:val="24"/>
    </w:rPr>
  </w:style>
  <w:style w:type="paragraph" w:customStyle="1" w:styleId="153">
    <w:name w:val="xl133"/>
    <w:basedOn w:val="1"/>
    <w:qFormat/>
    <w:uiPriority w:val="0"/>
    <w:pPr>
      <w:widowControl/>
      <w:pBdr>
        <w:top w:val="single" w:color="000000" w:sz="4" w:space="0"/>
        <w:left w:val="single" w:color="000000" w:sz="8" w:space="0"/>
        <w:bottom w:val="single" w:color="000000" w:sz="8"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54">
    <w:name w:val="xl103"/>
    <w:basedOn w:val="1"/>
    <w:qFormat/>
    <w:uiPriority w:val="0"/>
    <w:pPr>
      <w:widowControl/>
      <w:pBdr>
        <w:top w:val="single" w:color="000000" w:sz="4" w:space="0"/>
        <w:left w:val="single" w:color="000000" w:sz="4" w:space="0"/>
        <w:bottom w:val="single" w:color="auto" w:sz="4" w:space="0"/>
        <w:right w:val="single" w:color="000000" w:sz="4" w:space="0"/>
      </w:pBdr>
      <w:shd w:val="clear" w:color="000000" w:fill="FFFFFF"/>
      <w:spacing w:before="100" w:beforeAutospacing="1" w:after="100" w:afterAutospacing="1"/>
      <w:jc w:val="right"/>
      <w:textAlignment w:val="center"/>
    </w:pPr>
    <w:rPr>
      <w:rFonts w:ascii="宋体" w:hAnsi="宋体" w:cs="宋体"/>
      <w:color w:val="0000FF"/>
      <w:kern w:val="0"/>
      <w:sz w:val="24"/>
      <w:szCs w:val="24"/>
    </w:rPr>
  </w:style>
  <w:style w:type="paragraph" w:customStyle="1" w:styleId="155">
    <w:name w:val="xl140"/>
    <w:basedOn w:val="1"/>
    <w:qFormat/>
    <w:uiPriority w:val="0"/>
    <w:pPr>
      <w:widowControl/>
      <w:pBdr>
        <w:top w:val="single" w:color="auto" w:sz="4" w:space="0"/>
        <w:left w:val="single" w:color="auto" w:sz="4" w:space="0"/>
        <w:bottom w:val="single" w:color="000000"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56">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58">
    <w:name w:val="xl111"/>
    <w:basedOn w:val="1"/>
    <w:qFormat/>
    <w:uiPriority w:val="0"/>
    <w:pPr>
      <w:widowControl/>
      <w:pBdr>
        <w:top w:val="single" w:color="auto" w:sz="4" w:space="0"/>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159">
    <w:name w:val="xl145"/>
    <w:basedOn w:val="1"/>
    <w:qFormat/>
    <w:uiPriority w:val="0"/>
    <w:pPr>
      <w:widowControl/>
      <w:pBdr>
        <w:top w:val="single" w:color="auto" w:sz="8"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60">
    <w:name w:val="xl113"/>
    <w:basedOn w:val="1"/>
    <w:qFormat/>
    <w:uiPriority w:val="0"/>
    <w:pPr>
      <w:widowControl/>
      <w:pBdr>
        <w:top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61">
    <w:name w:val="xl114"/>
    <w:basedOn w:val="1"/>
    <w:qFormat/>
    <w:uiPriority w:val="0"/>
    <w:pPr>
      <w:widowControl/>
      <w:pBdr>
        <w:top w:val="single" w:color="auto" w:sz="4" w:space="0"/>
        <w:right w:val="single" w:color="000000" w:sz="8"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62">
    <w:name w:val="xl147"/>
    <w:basedOn w:val="1"/>
    <w:qFormat/>
    <w:uiPriority w:val="0"/>
    <w:pPr>
      <w:widowControl/>
      <w:pBdr>
        <w:top w:val="single" w:color="auto" w:sz="4" w:space="0"/>
        <w:left w:val="single" w:color="auto" w:sz="4" w:space="0"/>
        <w:bottom w:val="single" w:color="000000"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63">
    <w:name w:val="xl117"/>
    <w:basedOn w:val="1"/>
    <w:qFormat/>
    <w:uiPriority w:val="0"/>
    <w:pPr>
      <w:widowControl/>
      <w:shd w:val="clear" w:color="000000" w:fill="FFFFFF"/>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164">
    <w:name w:val="xl12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65">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66">
    <w:name w:val="xl12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textAlignment w:val="center"/>
    </w:pPr>
    <w:rPr>
      <w:rFonts w:ascii="宋体" w:hAnsi="宋体" w:cs="宋体"/>
      <w:kern w:val="0"/>
      <w:sz w:val="24"/>
      <w:szCs w:val="24"/>
    </w:rPr>
  </w:style>
  <w:style w:type="paragraph" w:customStyle="1" w:styleId="167">
    <w:name w:val="xl149"/>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b/>
      <w:bCs/>
      <w:kern w:val="0"/>
      <w:sz w:val="24"/>
      <w:szCs w:val="24"/>
    </w:rPr>
  </w:style>
  <w:style w:type="paragraph" w:customStyle="1" w:styleId="168">
    <w:name w:val="xl124"/>
    <w:basedOn w:val="1"/>
    <w:qFormat/>
    <w:uiPriority w:val="0"/>
    <w:pPr>
      <w:widowControl/>
      <w:pBdr>
        <w:top w:val="single" w:color="000000" w:sz="4" w:space="0"/>
        <w:left w:val="single" w:color="000000" w:sz="4" w:space="0"/>
        <w:bottom w:val="single" w:color="auto"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69">
    <w:name w:val="xl146"/>
    <w:basedOn w:val="1"/>
    <w:qFormat/>
    <w:uiPriority w:val="0"/>
    <w:pPr>
      <w:widowControl/>
      <w:pBdr>
        <w:top w:val="single" w:color="auto" w:sz="4" w:space="0"/>
        <w:left w:val="single" w:color="auto" w:sz="8" w:space="0"/>
        <w:bottom w:val="single" w:color="000000"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70">
    <w:name w:val="xl125"/>
    <w:basedOn w:val="1"/>
    <w:qFormat/>
    <w:uiPriority w:val="0"/>
    <w:pPr>
      <w:widowControl/>
      <w:pBdr>
        <w:top w:val="single" w:color="000000" w:sz="4" w:space="0"/>
        <w:left w:val="single" w:color="000000" w:sz="4" w:space="0"/>
        <w:bottom w:val="single" w:color="auto"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71">
    <w:name w:val="xl126"/>
    <w:basedOn w:val="1"/>
    <w:qFormat/>
    <w:uiPriority w:val="0"/>
    <w:pPr>
      <w:widowControl/>
      <w:pBdr>
        <w:top w:val="single" w:color="000000" w:sz="4" w:space="0"/>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72">
    <w:name w:val="xl131"/>
    <w:basedOn w:val="1"/>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73">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174">
    <w:name w:val="xl142"/>
    <w:basedOn w:val="1"/>
    <w:qFormat/>
    <w:uiPriority w:val="0"/>
    <w:pPr>
      <w:widowControl/>
      <w:pBdr>
        <w:top w:val="single" w:color="auto" w:sz="8" w:space="0"/>
        <w:left w:val="single" w:color="auto" w:sz="8" w:space="0"/>
        <w:bottom w:val="single" w:color="auto" w:sz="4" w:space="0"/>
        <w:right w:val="single" w:color="auto" w:sz="8" w:space="0"/>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175">
    <w:name w:val="p45"/>
    <w:basedOn w:val="1"/>
    <w:qFormat/>
    <w:uiPriority w:val="0"/>
    <w:pPr>
      <w:widowControl/>
    </w:pPr>
    <w:rPr>
      <w:kern w:val="0"/>
      <w:szCs w:val="21"/>
    </w:rPr>
  </w:style>
  <w:style w:type="paragraph" w:customStyle="1" w:styleId="176">
    <w:name w:val="Char Char Char"/>
    <w:basedOn w:val="1"/>
    <w:qFormat/>
    <w:uiPriority w:val="0"/>
    <w:pPr>
      <w:widowControl/>
      <w:tabs>
        <w:tab w:val="left" w:pos="360"/>
      </w:tabs>
      <w:jc w:val="left"/>
    </w:pPr>
    <w:rPr>
      <w:rFonts w:ascii="Calibri" w:hAnsi="Calibri"/>
    </w:rPr>
  </w:style>
  <w:style w:type="paragraph" w:styleId="177">
    <w:name w:val="List Paragraph"/>
    <w:basedOn w:val="1"/>
    <w:qFormat/>
    <w:uiPriority w:val="99"/>
    <w:pPr>
      <w:ind w:firstLine="420" w:firstLineChars="200"/>
    </w:pPr>
    <w:rPr>
      <w:rFonts w:ascii="Calibri" w:hAnsi="Calibri"/>
      <w:szCs w:val="22"/>
    </w:rPr>
  </w:style>
  <w:style w:type="paragraph" w:customStyle="1" w:styleId="178">
    <w:name w:val="列表段落1"/>
    <w:basedOn w:val="1"/>
    <w:qFormat/>
    <w:uiPriority w:val="0"/>
    <w:pPr>
      <w:ind w:firstLine="420" w:firstLineChars="200"/>
    </w:pPr>
    <w:rPr>
      <w:rFonts w:ascii="Calibri" w:hAnsi="Calibri"/>
      <w:szCs w:val="21"/>
    </w:rPr>
  </w:style>
  <w:style w:type="paragraph" w:customStyle="1" w:styleId="179">
    <w:name w:val="List Paragraph1"/>
    <w:basedOn w:val="1"/>
    <w:uiPriority w:val="0"/>
    <w:pPr>
      <w:ind w:firstLine="420" w:firstLineChars="200"/>
    </w:pPr>
    <w:rPr>
      <w:rFonts w:ascii="Calibri" w:hAnsi="Calibri"/>
      <w:szCs w:val="21"/>
    </w:rPr>
  </w:style>
  <w:style w:type="paragraph" w:customStyle="1" w:styleId="180">
    <w:name w:val="列表段落2"/>
    <w:basedOn w:val="1"/>
    <w:qFormat/>
    <w:uiPriority w:val="0"/>
    <w:pPr>
      <w:ind w:firstLine="420" w:firstLineChars="200"/>
    </w:pPr>
    <w:rPr>
      <w:rFonts w:ascii="Calibri" w:hAnsi="Calibri"/>
      <w:szCs w:val="21"/>
    </w:rPr>
  </w:style>
  <w:style w:type="paragraph" w:customStyle="1" w:styleId="181">
    <w:name w:val="Char Char Char1"/>
    <w:basedOn w:val="1"/>
    <w:qFormat/>
    <w:uiPriority w:val="0"/>
    <w:pPr>
      <w:widowControl/>
      <w:tabs>
        <w:tab w:val="left" w:pos="360"/>
      </w:tabs>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2958</Words>
  <Characters>16867</Characters>
  <Lines>140</Lines>
  <Paragraphs>39</Paragraphs>
  <TotalTime>5</TotalTime>
  <ScaleCrop>false</ScaleCrop>
  <LinksUpToDate>false</LinksUpToDate>
  <CharactersWithSpaces>19786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2021-12-14T02:34:00Z</dcterms:created>
  <dc:creator>南京特殊教育师范学院(填报)</dc:creator>
  <cp:lastModifiedBy>zwc</cp:lastModifiedBy>
  <dcterms:modified xsi:type="dcterms:W3CDTF">2021-12-14T06:40:45Z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4BDDA1A467094208993F36217445C9E4</vt:lpwstr>
  </property>
</Properties>
</file>